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ind w:right="185" w:rightChars="88"/>
        <w:jc w:val="both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附件3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00" w:lineRule="exact"/>
        <w:ind w:firstLine="723" w:firstLineChars="200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****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年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宿州市城镇职工常见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慢性病确认通知</w:t>
      </w:r>
      <w:bookmarkEnd w:id="0"/>
    </w:p>
    <w:p>
      <w:pPr>
        <w:spacing w:line="500" w:lineRule="exact"/>
        <w:ind w:firstLine="602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同志,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经医疗专家组鉴定，确认您患有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，自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****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**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日起享受门诊长期慢性病补助（以下简称慢性病）待遇。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请您注意以下几点：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一、诊疗购药：市内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参保人员</w:t>
      </w:r>
      <w:r>
        <w:rPr>
          <w:rFonts w:hint="eastAsia" w:ascii="仿宋" w:hAnsi="仿宋" w:eastAsia="仿宋" w:cs="仿宋"/>
          <w:color w:val="auto"/>
          <w:w w:val="90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慢性病定点医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药机构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诊治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需提醒前台工作人员选择您的慢性病病种后再进行相应计费；处方药需使用处方，检查化验要求留存相关报告单以备复审</w:t>
      </w:r>
      <w:r>
        <w:rPr>
          <w:rFonts w:hint="eastAsia" w:ascii="仿宋" w:hAnsi="仿宋" w:eastAsia="仿宋" w:cs="仿宋"/>
          <w:color w:val="auto"/>
          <w:w w:val="90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二、补助金额：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城镇职工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审批病种相关的，符合基本医疗保险规定的诊疗费用；在一个自然年度内累计超过200元以上，单一病种年度报销限额为1500元，统筹基金支付比例为70%;两种及以上病种年度报销限额为3000元，统筹基金支付比例为60%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三、补助办法:参保单位和个人按时足额缴纳基本医疗保险费的，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参保人员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按比例直接在慢性病定点医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机构前台结算；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参保人员在异地不能手工结算的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请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按相关规定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属地经办机构办理手工报销。</w:t>
      </w:r>
    </w:p>
    <w:p>
      <w:pPr>
        <w:tabs>
          <w:tab w:val="left" w:pos="2700"/>
        </w:tabs>
        <w:ind w:right="185" w:rightChars="88" w:firstLine="5100" w:firstLineChars="1700"/>
        <w:jc w:val="both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经办机构名称（盖章）：</w:t>
      </w:r>
    </w:p>
    <w:p>
      <w:pPr>
        <w:tabs>
          <w:tab w:val="left" w:pos="2700"/>
        </w:tabs>
        <w:ind w:right="185" w:rightChars="88" w:firstLine="6000" w:firstLineChars="2000"/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****年**月**日</w:t>
      </w: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tabs>
          <w:tab w:val="left" w:pos="2700"/>
        </w:tabs>
        <w:ind w:right="185" w:rightChars="88"/>
        <w:jc w:val="both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附件4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****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宿州市城镇职工常见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慢性病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未通过确认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通知</w:t>
      </w:r>
    </w:p>
    <w:p>
      <w:pPr>
        <w:tabs>
          <w:tab w:val="left" w:pos="2700"/>
        </w:tabs>
        <w:ind w:right="185" w:rightChars="88" w:firstLine="900" w:firstLineChars="300"/>
        <w:jc w:val="both"/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同志,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经医疗专家组鉴定，确认您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的申报材料不符合长期慢性病诊断标准，未通过主要原因为：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>***********  。</w:t>
      </w:r>
    </w:p>
    <w:p>
      <w:pPr>
        <w:tabs>
          <w:tab w:val="left" w:pos="2700"/>
        </w:tabs>
        <w:ind w:right="185" w:rightChars="88" w:firstLine="5100" w:firstLineChars="1700"/>
        <w:jc w:val="both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经办机构名称（盖章）：</w:t>
      </w:r>
    </w:p>
    <w:p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 xml:space="preserve">****年**月**日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03A473F2"/>
    <w:rsid w:val="476D2AAF"/>
    <w:rsid w:val="6F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0287FA4CF47945E788F486339B2F209D</vt:lpwstr>
  </property>
</Properties>
</file>