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textAlignment w:val="auto"/>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pP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附件一：</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_GBK" w:hAnsi="方正小标宋_GBK" w:eastAsia="方正小标宋_GBK" w:cs="方正小标宋_GBK"/>
          <w:b w:val="0"/>
          <w:bCs w:val="0"/>
          <w:color w:val="000000" w:themeColor="text1"/>
          <w:spacing w:val="0"/>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方正小标宋_GBK" w:hAnsi="方正小标宋_GBK" w:eastAsia="方正小标宋_GBK" w:cs="方正小标宋_GBK"/>
          <w:b w:val="0"/>
          <w:bCs w:val="0"/>
          <w:color w:val="000000" w:themeColor="text1"/>
          <w:spacing w:val="0"/>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spacing w:val="0"/>
          <w:sz w:val="44"/>
          <w:szCs w:val="44"/>
          <w:lang w:eastAsia="zh-CN"/>
          <w14:textFill>
            <w14:solidFill>
              <w14:schemeClr w14:val="tx1"/>
            </w14:solidFill>
          </w14:textFill>
        </w:rPr>
        <w:t>宿州市</w:t>
      </w:r>
      <w:r>
        <w:rPr>
          <w:rFonts w:hint="default" w:ascii="方正小标宋_GBK" w:hAnsi="方正小标宋_GBK" w:eastAsia="方正小标宋_GBK" w:cs="方正小标宋_GBK"/>
          <w:b w:val="0"/>
          <w:bCs w:val="0"/>
          <w:color w:val="000000" w:themeColor="text1"/>
          <w:spacing w:val="0"/>
          <w:sz w:val="44"/>
          <w:szCs w:val="44"/>
          <w14:textFill>
            <w14:solidFill>
              <w14:schemeClr w14:val="tx1"/>
            </w14:solidFill>
          </w14:textFill>
        </w:rPr>
        <w:t>健全重特大疾病医疗保险</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方正小标宋_GBK" w:hAnsi="方正小标宋_GBK" w:eastAsia="方正小标宋_GBK" w:cs="方正小标宋_GBK"/>
          <w:b w:val="0"/>
          <w:bCs w:val="0"/>
          <w:color w:val="000000" w:themeColor="text1"/>
          <w:spacing w:val="0"/>
          <w:sz w:val="44"/>
          <w:szCs w:val="44"/>
          <w14:textFill>
            <w14:solidFill>
              <w14:schemeClr w14:val="tx1"/>
            </w14:solidFill>
          </w14:textFill>
        </w:rPr>
      </w:pPr>
      <w:r>
        <w:rPr>
          <w:rFonts w:hint="default" w:ascii="方正小标宋_GBK" w:hAnsi="方正小标宋_GBK" w:eastAsia="方正小标宋_GBK" w:cs="方正小标宋_GBK"/>
          <w:b w:val="0"/>
          <w:bCs w:val="0"/>
          <w:color w:val="000000" w:themeColor="text1"/>
          <w:spacing w:val="0"/>
          <w:sz w:val="44"/>
          <w:szCs w:val="44"/>
          <w14:textFill>
            <w14:solidFill>
              <w14:schemeClr w14:val="tx1"/>
            </w14:solidFill>
          </w14:textFill>
        </w:rPr>
        <w:t>和救助制度若干举措</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（征求意见稿）</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为贯彻落实《国务院办公厅关于健全重特大疾病医疗保险和救助制度的意见》（国办发〔2021〕42 号）</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、《安徽省人民政府办公厅关于印发安徽省健全重特大疾病医疗保险和救助制度若干举措的通知》（皖政办〔2022〕</w:t>
      </w:r>
      <w:r>
        <w:rPr>
          <w:rFonts w:hint="default" w:ascii="Times New Roman" w:hAnsi="Times New Roman" w:eastAsia="方正仿宋_GBK" w:cs="Times New Roman"/>
          <w:b w:val="0"/>
          <w:bCs w:val="0"/>
          <w:color w:val="000000" w:themeColor="text1"/>
          <w:spacing w:val="0"/>
          <w:sz w:val="32"/>
          <w:szCs w:val="32"/>
          <w:lang w:val="en" w:eastAsia="zh-CN"/>
          <w14:textFill>
            <w14:solidFill>
              <w14:schemeClr w14:val="tx1"/>
            </w14:solidFill>
          </w14:textFill>
        </w:rPr>
        <w:t>6</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号）文件精神</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，实事求是确定困难群众医疗保障待遇标准，进一步减轻困难群众和大病患者医疗费用负担，强化基本医疗保险、大病保险、医疗救助（以下简称三重制度）综合保障，防范因病致贫返贫，促进共同富裕</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。结合宿州实际，</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制定如下举措。</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黑体_GBK" w:hAnsi="方正黑体_GBK" w:eastAsia="方正黑体_GBK" w:cs="方正黑体_GBK"/>
          <w:b w:val="0"/>
          <w:bCs w:val="0"/>
          <w:color w:val="000000" w:themeColor="text1"/>
          <w:spacing w:val="0"/>
          <w:sz w:val="32"/>
          <w:szCs w:val="32"/>
          <w:lang w:val="en-US" w:eastAsia="zh-CN"/>
          <w14:textFill>
            <w14:solidFill>
              <w14:schemeClr w14:val="tx1"/>
            </w14:solidFill>
          </w14:textFill>
        </w:rPr>
        <w:t>一、科学确定救助对象范围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（一）分类确定救助对象。</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医疗救助适用于医疗费用负担较重的困难职工和城乡居民，包括民政部门认定的特困人员、低保对象、低保边缘家庭成员</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市</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民政</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局）</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乡村振兴部门认定的返贫致贫人口、防止返贫监测对象（脱贫不稳定和纳入相关部门农村低收入人口监测范围的人口）</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（牵头单位：市乡村振兴局）</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以及虽不符合特困人员、低保对象或低保边缘家庭认定条件，但因高额医疗费用支出导致家庭基本生活出现严重困难的大病患者（以下简称因病致贫重病患者）等</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牵头单位：市</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民政</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局）</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县级以上人民政府规定的其他特殊困难人员，由认定部门根据职责按上述救助对象类别给予相应救助。</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（牵头单位：县、区人民政府）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（二）明确因病致贫认定条件。</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将《</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宿州市</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低收入人口认定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及救助暂行办法》规定的支出型困难家庭中，因病导致刚性支出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较大或收入大幅缩减，出现家庭人均年收入低于上年度户籍所在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地居民人均可支配收入，且家庭人均年收入在扣减认定的因病刚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性支出后低于户籍所在地年最低生活保障标准，同时家庭财产状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况符合户籍所在地相关规定的人员，纳入因病致贫重病患者</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管</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理。具体认定条件由</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市</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民政部门会同医疗保障、乡村振兴等相关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部门确定。</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市</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民政</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局</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（三）及时监测识别困难群众。</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分类健全因病致贫和因病返</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贫双预警机制，对经基本医保、大病保险等支付后个人年度医疗</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费用负担仍然较重的低保边缘家庭成员、防止返贫监测对象等，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参照上年全</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省</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居民人均可支配收入</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的</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50%左右设定监测标准；对稳定脱贫人口、普通参保人员等，参照上年全</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省</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居民人均可支配收入设定监测标准。医保部门及时将达到监测标准的人员信息推送民政、乡村振兴等部门，符合条件的纳入医疗救助或其它社会救助范围。</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市</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医保局）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黑体_GBK" w:hAnsi="方正黑体_GBK" w:eastAsia="方正黑体_GBK" w:cs="方正黑体_GBK"/>
          <w:b w:val="0"/>
          <w:bCs w:val="0"/>
          <w:color w:val="000000" w:themeColor="text1"/>
          <w:spacing w:val="0"/>
          <w:sz w:val="32"/>
          <w:szCs w:val="32"/>
          <w:lang w:val="en-US" w:eastAsia="zh-CN"/>
          <w14:textFill>
            <w14:solidFill>
              <w14:schemeClr w14:val="tx1"/>
            </w14:solidFill>
          </w14:textFill>
        </w:rPr>
        <w:t>二、发挥医疗保险主体保障功能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（四）分类资助救助对象参保。</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困难群众依法参加基本医保，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实现及时参保、应保尽保，享受统一的基本医保待遇。按照城乡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居民基本医保参保财政补助政策，对参保个人缴费给予分类资助。对特困人员</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（含孤儿和事实无人抚养儿童）</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给予全额资助，对低保对象给予 80%—90%定额资助，</w:t>
      </w:r>
      <w:r>
        <w:rPr>
          <w:rFonts w:hint="default" w:ascii="Times New Roman" w:hAnsi="Times New Roman" w:eastAsia="方正仿宋_GBK" w:cs="Times New Roman"/>
          <w:color w:val="000000" w:themeColor="text1"/>
          <w:sz w:val="32"/>
          <w:szCs w:val="32"/>
          <w14:textFill>
            <w14:solidFill>
              <w14:schemeClr w14:val="tx1"/>
            </w14:solidFill>
          </w14:textFill>
        </w:rPr>
        <w:t>过渡期内，乡村振兴部门认定的返贫致贫人口（以下简称返贫致贫人口）给予70%—80%定额资助，脱贫不稳定和纳入相关部门农村低收入人口监测范围的人口（以下简称</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防止返贫监测对象</w:t>
      </w:r>
      <w:r>
        <w:rPr>
          <w:rFonts w:hint="default" w:ascii="Times New Roman" w:hAnsi="Times New Roman" w:eastAsia="方正仿宋_GBK" w:cs="Times New Roman"/>
          <w:color w:val="000000" w:themeColor="text1"/>
          <w:sz w:val="32"/>
          <w:szCs w:val="32"/>
          <w14:textFill>
            <w14:solidFill>
              <w14:schemeClr w14:val="tx1"/>
            </w14:solidFill>
          </w14:textFill>
        </w:rPr>
        <w:t>）给予50%定额资助</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剩余费用由个人按规定缴纳</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困难群众依法参加基本</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医疗保险</w:t>
      </w:r>
      <w:r>
        <w:rPr>
          <w:rFonts w:hint="default" w:ascii="Times New Roman" w:hAnsi="Times New Roman" w:eastAsia="方正仿宋_GBK" w:cs="Times New Roman"/>
          <w:color w:val="000000" w:themeColor="text1"/>
          <w:sz w:val="32"/>
          <w:szCs w:val="32"/>
          <w14:textFill>
            <w14:solidFill>
              <w14:schemeClr w14:val="tx1"/>
            </w14:solidFill>
          </w14:textFill>
        </w:rPr>
        <w:t>，按规定享有三重制度保障权益。未纳入农村低收入人口监测范围的稳定脱贫人口不再享受医疗救助资助参保政策。</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已参加城乡居民基本医保，进入保障年度后新认定为救助对象的不再追补资助。</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市</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医保局）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（五）增强大病保险补充保障功能。</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大病保险对特困人员、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低保对象等实行倾斜支付，较普通参保人员起付标准降低50%、</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报销比例提高5个百分点、取消封顶线。</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市</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医</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保</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黑体_GBK" w:hAnsi="方正黑体_GBK" w:eastAsia="方正黑体_GBK" w:cs="方正黑体_GBK"/>
          <w:b w:val="0"/>
          <w:bCs w:val="0"/>
          <w:color w:val="000000" w:themeColor="text1"/>
          <w:spacing w:val="0"/>
          <w:sz w:val="32"/>
          <w:szCs w:val="32"/>
          <w:lang w:val="en-US" w:eastAsia="zh-CN"/>
          <w14:textFill>
            <w14:solidFill>
              <w14:schemeClr w14:val="tx1"/>
            </w14:solidFill>
          </w14:textFill>
        </w:rPr>
        <w:t>三、完善分类救助托底保障作用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　　（六）明确救助费用保障范围。</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按照“先保险后救助”原则，对基本医保、大病保险等支付后，个人医疗费用负担仍然较重的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救助对象按规定实施救助。救助费用主要覆盖救助对象一个年度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内，在参保地定点医疗机构或按规定转诊异地就医发生的住院费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用及慢性病、特殊病门诊费用。按规定转诊的救助对象，执行户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籍地所在统筹地区救助标准，未按规定转诊的救助对象所发生的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医疗费用原则上不纳入医疗救助范围。由医疗救助基金支付的药</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品、医用耗材、诊疗项目，与基本医保、大病保险支付范围有效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衔接。基本医保、大病保险起付标准以下的政策范围内个人自付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费用按规定纳入救助保障。妥善解决救助对象政策范围内基本医</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疗需求，除国家另有明确规定外，</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各县区</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不得自行制定或用变通的方法擅自扩大医疗救助费用保障范围。</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市</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医保局）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（七）合理确定基本救助水平。</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按救助对象家庭困难情况，</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分类设定年度救助起付标准（以下简称起付标准）、救助比例。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完善统一规范的医疗救助制度，明确救助费用范围，对救助对象在参保地定点医疗机构或按规定转诊异地就医（急诊、抢救除外）发生的合规医疗费用，经基本医疗保险、大病保险</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和其他补充医疗保险支付</w:t>
      </w:r>
      <w:r>
        <w:rPr>
          <w:rFonts w:hint="default" w:ascii="Times New Roman" w:hAnsi="Times New Roman" w:eastAsia="方正仿宋_GBK" w:cs="Times New Roman"/>
          <w:color w:val="000000" w:themeColor="text1"/>
          <w:sz w:val="32"/>
          <w:szCs w:val="32"/>
          <w14:textFill>
            <w14:solidFill>
              <w14:schemeClr w14:val="tx1"/>
            </w14:solidFill>
          </w14:textFill>
        </w:rPr>
        <w:t>后的个人</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及其家庭难以承担的符合规定的基本医疗</w:t>
      </w:r>
      <w:r>
        <w:rPr>
          <w:rFonts w:hint="default" w:ascii="Times New Roman" w:hAnsi="Times New Roman" w:eastAsia="方正仿宋_GBK" w:cs="Times New Roman"/>
          <w:color w:val="000000" w:themeColor="text1"/>
          <w:sz w:val="32"/>
          <w:szCs w:val="32"/>
          <w14:textFill>
            <w14:solidFill>
              <w14:schemeClr w14:val="tx1"/>
            </w14:solidFill>
          </w14:textFill>
        </w:rPr>
        <w:t>自付</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费用</w:t>
      </w:r>
      <w:r>
        <w:rPr>
          <w:rFonts w:hint="default" w:ascii="Times New Roman" w:hAnsi="Times New Roman" w:eastAsia="方正仿宋_GBK" w:cs="Times New Roman"/>
          <w:color w:val="000000" w:themeColor="text1"/>
          <w:sz w:val="32"/>
          <w:szCs w:val="32"/>
          <w14:textFill>
            <w14:solidFill>
              <w14:schemeClr w14:val="tx1"/>
            </w14:solidFill>
          </w14:textFill>
        </w:rPr>
        <w:t>按规定给予救助</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（引自社会救助暂行办法第五章第二十九条第二款）</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，门诊慢特病和住院费用共用年度救助限额</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特困人员、低保对象</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取消起付标准</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，返贫致贫人口起付线1500元（上年全省城乡居民人均可支配收入的5%左右），</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低保边缘家庭、防止返贫</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监测</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对象</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起付标准3000元（上年全省城乡居民人均可支配收入10%左右）</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，因病致贫重病患者起付标准10000元</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。特困人员医疗救助比例90%，年度救助限额为5万元；低保对象救助比例75%，年度救助限额为3万元；起付</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标准</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以上，返贫致贫人口救助比例70%，低保边缘家庭、</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防止返贫</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监测</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对象</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救助比例60%，因病致贫重病患者</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救助比例50%，</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年度救助限额均为3万元。</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市</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医保局）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（八）统筹完善倾斜救助措施。加强门诊慢性病、特殊病救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助保障，门诊和住院救助共用年度救助限额。对规范转诊且在省</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域内就医的救助对象，经三重制度综合保障后政策范围内个人负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担仍然较重的给予倾斜救助</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起付线1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.5万</w:t>
      </w:r>
      <w:r>
        <w:rPr>
          <w:rFonts w:hint="default" w:ascii="Times New Roman" w:hAnsi="Times New Roman" w:eastAsia="方正仿宋_GBK" w:cs="Times New Roman"/>
          <w:color w:val="000000" w:themeColor="text1"/>
          <w:sz w:val="32"/>
          <w:szCs w:val="32"/>
          <w14:textFill>
            <w14:solidFill>
              <w14:schemeClr w14:val="tx1"/>
            </w14:solidFill>
          </w14:textFill>
        </w:rPr>
        <w:t>元，</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救助比例50%</w:t>
      </w:r>
      <w:r>
        <w:rPr>
          <w:rFonts w:hint="default" w:ascii="Times New Roman" w:hAnsi="Times New Roman" w:eastAsia="方正仿宋_GBK" w:cs="Times New Roman"/>
          <w:color w:val="000000" w:themeColor="text1"/>
          <w:sz w:val="32"/>
          <w:szCs w:val="32"/>
          <w14:textFill>
            <w14:solidFill>
              <w14:schemeClr w14:val="tx1"/>
            </w14:solidFill>
          </w14:textFill>
        </w:rPr>
        <w:t>，门诊慢特病和住院共用年度救助限额</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万元。</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（牵头单位：市</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医保局）</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通过明确诊疗方案、规范诊疗等措施降低医疗成本，合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理控制困难群众政策范围内自付费用比例。</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市</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卫生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健康委）</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　（九）畅通依申请救助渠道。</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全面建立依申请救助机制，按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照户申请、村（社区）评议、乡镇（街道）审核、县级医保与民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政、乡村振兴等部门联合确定的程序，对因病致贫重病患者在身</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份认定前当年内个人自付的合规医疗费用给予相应救助。年度内</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动态新增加的救助对象在身份认定前当年内个人自付的合规医疗费用可依申请追溯给予相应救助。因个人原因未参加基本医保</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的原则上不纳入医疗救助范围。</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（牵头单位：各县</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、区</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黑体_GBK" w:hAnsi="方正黑体_GBK" w:eastAsia="方正黑体_GBK" w:cs="方正黑体_GBK"/>
          <w:b w:val="0"/>
          <w:bCs w:val="0"/>
          <w:color w:val="000000" w:themeColor="text1"/>
          <w:spacing w:val="0"/>
          <w:sz w:val="32"/>
          <w:szCs w:val="32"/>
          <w:lang w:val="en-US" w:eastAsia="zh-CN"/>
          <w14:textFill>
            <w14:solidFill>
              <w14:schemeClr w14:val="tx1"/>
            </w14:solidFill>
          </w14:textFill>
        </w:rPr>
        <w:t>四、拓宽社会综合救助渠道</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（十）发展壮大慈善救助。</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推动建立社区（村）慈善基金，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鼓励将大病救助作为协议重要内容，探索实施人人参与、互助共</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济的大病慈善救助模式。鼓励慈善组织和其他社会组织以困难群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众医疗需求为导向，优先设立医疗费用高、社会影响大、诊疗路</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径明确的大病救助项目和困难家庭符合规定的异地就医交通等补贴项目，发挥补充救助和补缺救助作用。建立社会救助信息与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本地慈善资源双向推送工作机制，促进互联网公开募捐信息平台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建设和平台间慈善资源共享，规范互联网个人大病求助平台信息</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发布，推行阳光救助。支持医疗救助领域社会工作服务和志愿服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务发展，探索制定医疗机构社会工作服务标准，丰富救助服务内</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容，提升服务品质。根据经济社会发展水平和各方承受能力，探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索建立罕见病用药保障机制，整合医疗保障、社会救助、慈善帮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扶和商业保险等资源，实施综合保障。建立慈善参与激励机制，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落实相应税收优惠、费用减免等政策。</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市</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民政</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局</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（十一）鼓励医疗互助和商业健康保险发展。</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扩大职工医疗</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互助覆盖面。</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市</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总工会）</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规范互联网平台互助，加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强风险管控，引导医疗互助健康发展。支持商业健康保险发展，</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满足基本医疗保障以外的保障需求。引导商业保险机构进一步完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善健康保险产品供给，将更多医保目录外合理医疗费用科学纳入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健康保险保障范围，提高重特大疾病补充医疗保障水平。</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可</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根据实际，开展与基本医保、大病保险相衔接的商业健康保险，在产品定价、赔付条件、保障范围等方面对困难群众适当倾斜，逐步实现与基本医保、大病保险、医疗救助“一站式结算”。</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中国银行保险监督管理委员会宿州市监管分局</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黑体_GBK" w:hAnsi="方正黑体_GBK" w:eastAsia="方正黑体_GBK" w:cs="方正黑体_GBK"/>
          <w:b w:val="0"/>
          <w:bCs w:val="0"/>
          <w:color w:val="000000" w:themeColor="text1"/>
          <w:spacing w:val="0"/>
          <w:sz w:val="32"/>
          <w:szCs w:val="32"/>
          <w:lang w:val="en-US" w:eastAsia="zh-CN"/>
          <w14:textFill>
            <w14:solidFill>
              <w14:schemeClr w14:val="tx1"/>
            </w14:solidFill>
          </w14:textFill>
        </w:rPr>
        <w:t>五、规范三重保障服务管理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（十二）提升公共服务水平。</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建立健全救助对象信息动态管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理机制，各</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县、区</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民政部门、乡村振兴部门认定的救助对象，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统一交由民政部门完成重合身份核查、分类标识确认后，及时向</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医保部门推送，</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（牵头单位：市民政局）</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医保部门根据救助对象</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身份分类落实资助参保、医疗救助待遇。细化医疗救助服务事项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清单和经办管理服务规程，依托全国统一的医疗保障信息平台，</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推进医疗救助业务“一站式”服务、“一窗口”办理、“一单制”结算。</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（牵头单位：市医保局）</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动员基层干部，依托基层医疗卫生机构，做好政策宣传和救助申请委托代办等，及时主动帮助困难群众。</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（牵头单位：各</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县、区</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（十三）加强医疗服务管理。</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完善定点医疗机构医疗救助服务内容，推行基层首诊、规范转诊、提升服务，引导促进救助对象合理就医。按照安全有效、经济适宜、救助基本的原则，引导医疗救助对象和定点医疗机构优先选择纳入基本医保支付范围的药品、医用耗材和诊疗项目，严控不合理费用支出。经基层首诊转诊的特困人员、低保对象、防止返贫监测对象在市域内定点医疗机构住院，实行“先诊疗后付费”，全面免除其住院押金。</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市</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卫生健康委）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（十四）严格救助基金监管。</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加强医疗保险、医疗救助基金运行分析，强化基金风险预警管控。加强医保定点协议管理，强化定点医疗机构费用管控主体责任。统一医疗保险、医疗救助基金监管，实现自查自纠、日常稽核、抽查复查“三个全覆盖”，</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保持打击欺诈骗保高压态势，大力查处定点医药机构违规违法行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为，确保基金安全高效、合理使用。</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（牵头单位：</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市</w:t>
      </w:r>
      <w:r>
        <w:rPr>
          <w:rFonts w:hint="default"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医保局）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黑体_GBK" w:hAnsi="方正黑体_GBK" w:eastAsia="方正黑体_GBK" w:cs="方正黑体_GBK"/>
          <w:b w:val="0"/>
          <w:bCs w:val="0"/>
          <w:color w:val="000000" w:themeColor="text1"/>
          <w:spacing w:val="0"/>
          <w:sz w:val="32"/>
          <w:szCs w:val="32"/>
          <w:lang w:val="en-US" w:eastAsia="zh-CN"/>
          <w14:textFill>
            <w14:solidFill>
              <w14:schemeClr w14:val="tx1"/>
            </w14:solidFill>
          </w14:textFill>
        </w:rPr>
        <w:t>六、强化组织保障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（十五）加强组织领导。</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强化党委领导、政府主导、部门协</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同、社会参与的重特大疾病保障工作机制，建立健全部门协同机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制，加强医疗保障、社会救助、医疗卫生制度政策及经办服务统</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筹协调。将医疗救助保障政策落实情况，纳入</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市</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政府医疗保障事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业发展目标管理绩效评价和医疗救助工作绩效评价。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（十六）加强投入保障。</w:t>
      </w: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各级</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政府落实医疗救助投入保障责任。统筹协调基金预算和政策制定，促进医疗救助统筹层次与基本医保统筹层次相协调，提高救助资金使用效率。拓宽筹资渠道，动员社会力量，通过慈善和社会捐助等多渠道筹集资金。加强预算执行监督，全面实施预算绩效管理。</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　　</w:t>
      </w:r>
      <w:r>
        <w:rPr>
          <w:rFonts w:hint="eastAsia" w:ascii="方正楷体_GBK" w:hAnsi="方正楷体_GBK" w:eastAsia="方正楷体_GBK" w:cs="方正楷体_GBK"/>
          <w:b w:val="0"/>
          <w:bCs w:val="0"/>
          <w:color w:val="000000" w:themeColor="text1"/>
          <w:spacing w:val="0"/>
          <w:sz w:val="32"/>
          <w:szCs w:val="32"/>
          <w:lang w:val="en-US" w:eastAsia="zh-CN"/>
          <w14:textFill>
            <w14:solidFill>
              <w14:schemeClr w14:val="tx1"/>
            </w14:solidFill>
          </w14:textFill>
        </w:rPr>
        <w:t>（十七）加强服务引导。</w:t>
      </w: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根据医疗保障公共服务需求，加强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医疗保障经办队伍建设，积极引入社会力量参与经办服务，推动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医疗救助经办服务下沉，提升信息化和经办服务水平。加强政策</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t>宣传解读，及时回应社会关切，妥善处理风险隐患。</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本</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通知</w:t>
      </w: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自</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发文之</w:t>
      </w: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日起施行，《宿州市医疗保障局 宿州市民政局　宿州市财政局　宿州市卫生健康委 国家税务总局宿州市税务局　中国银保监会宿州监管分局   宿州市乡村振兴局关于印发宿州市巩固拓展医疗保障脱贫攻坚成果有效衔接乡村振兴战略实施方案的通知》（宿医保发〔2021〕5号）等</w:t>
      </w:r>
      <w:r>
        <w:rPr>
          <w:rFonts w:hint="eastAsia"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与本文件不一致的，以本文件为准</w:t>
      </w:r>
      <w:r>
        <w:rPr>
          <w:rFonts w:hint="default" w:ascii="Times New Roman" w:hAnsi="Times New Roman" w:eastAsia="方正仿宋_GBK" w:cs="Times New Roman"/>
          <w:b w:val="0"/>
          <w:bCs w:val="0"/>
          <w:color w:val="000000" w:themeColor="text1"/>
          <w:spacing w:val="0"/>
          <w:kern w:val="2"/>
          <w:sz w:val="32"/>
          <w:szCs w:val="32"/>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bookmarkStart w:id="0" w:name="_GoBack"/>
    </w:p>
    <w:bookmarkEnd w:id="0"/>
    <w:sectPr>
      <w:footerReference r:id="rId6" w:type="first"/>
      <w:footerReference r:id="rId4" w:type="default"/>
      <w:headerReference r:id="rId3" w:type="even"/>
      <w:footerReference r:id="rId5" w:type="even"/>
      <w:pgSz w:w="11906" w:h="16838"/>
      <w:pgMar w:top="1984" w:right="1474" w:bottom="1134" w:left="1474"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embedRegular r:id="rId1" w:fontKey="{CEBE81CD-79B0-4DBA-83CC-F9F222B675C7}"/>
  </w:font>
  <w:font w:name="方正楷体_GBK">
    <w:panose1 w:val="03000509000000000000"/>
    <w:charset w:val="86"/>
    <w:family w:val="auto"/>
    <w:pitch w:val="default"/>
    <w:sig w:usb0="00000001" w:usb1="080E0000" w:usb2="00000000" w:usb3="00000000" w:csb0="00040000" w:csb1="00000000"/>
    <w:embedRegular r:id="rId2" w:fontKey="{DDED3E8C-8801-41F9-868D-507808DFFA39}"/>
  </w:font>
  <w:font w:name="方正仿宋_GBK">
    <w:panose1 w:val="03000509000000000000"/>
    <w:charset w:val="86"/>
    <w:family w:val="auto"/>
    <w:pitch w:val="default"/>
    <w:sig w:usb0="00000001" w:usb1="080E0000" w:usb2="00000000" w:usb3="00000000" w:csb0="00040000" w:csb1="00000000"/>
    <w:embedRegular r:id="rId3" w:fontKey="{3392C5D2-FD7F-438B-8CF8-D1CAEBBCF963}"/>
  </w:font>
  <w:font w:name="方正黑体_GBK">
    <w:panose1 w:val="03000509000000000000"/>
    <w:charset w:val="86"/>
    <w:family w:val="auto"/>
    <w:pitch w:val="default"/>
    <w:sig w:usb0="00000001" w:usb1="080E0000" w:usb2="00000000" w:usb3="00000000" w:csb0="00040000" w:csb1="00000000"/>
    <w:embedRegular r:id="rId4" w:fontKey="{68EC4E91-251B-452C-A54C-2132B9E3E21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OTJhMTM4YmZlYmQ3MmU1YzhjOTE3ZTBlY2E3NzQifQ=="/>
  </w:docVars>
  <w:rsids>
    <w:rsidRoot w:val="735D6D19"/>
    <w:rsid w:val="00202A8B"/>
    <w:rsid w:val="041B3CB2"/>
    <w:rsid w:val="04DE0C94"/>
    <w:rsid w:val="07711FFE"/>
    <w:rsid w:val="07A63CF9"/>
    <w:rsid w:val="0E3677E0"/>
    <w:rsid w:val="0FFF71A7"/>
    <w:rsid w:val="100C796F"/>
    <w:rsid w:val="13767ADE"/>
    <w:rsid w:val="14F46F92"/>
    <w:rsid w:val="16724E47"/>
    <w:rsid w:val="1B235792"/>
    <w:rsid w:val="1C321B2D"/>
    <w:rsid w:val="1CCE18C8"/>
    <w:rsid w:val="1D1D37B9"/>
    <w:rsid w:val="23EC4C60"/>
    <w:rsid w:val="24353641"/>
    <w:rsid w:val="25C42373"/>
    <w:rsid w:val="260A376C"/>
    <w:rsid w:val="2BA44512"/>
    <w:rsid w:val="2BE77270"/>
    <w:rsid w:val="3179422E"/>
    <w:rsid w:val="31B03C4C"/>
    <w:rsid w:val="31C449A9"/>
    <w:rsid w:val="32C14F90"/>
    <w:rsid w:val="353C6879"/>
    <w:rsid w:val="35DA3B18"/>
    <w:rsid w:val="3E7EAA88"/>
    <w:rsid w:val="3E8046A8"/>
    <w:rsid w:val="446D048D"/>
    <w:rsid w:val="4A181BC1"/>
    <w:rsid w:val="4A94504F"/>
    <w:rsid w:val="4E1B5167"/>
    <w:rsid w:val="4F7F881B"/>
    <w:rsid w:val="4FB976E0"/>
    <w:rsid w:val="5245613E"/>
    <w:rsid w:val="5CCF9371"/>
    <w:rsid w:val="5EA95E15"/>
    <w:rsid w:val="5ECF75EF"/>
    <w:rsid w:val="663F0748"/>
    <w:rsid w:val="664C0B09"/>
    <w:rsid w:val="67FFC426"/>
    <w:rsid w:val="68276DD1"/>
    <w:rsid w:val="6CF7C2BD"/>
    <w:rsid w:val="6D377404"/>
    <w:rsid w:val="6DDF330C"/>
    <w:rsid w:val="6DF17CC1"/>
    <w:rsid w:val="6EF209FA"/>
    <w:rsid w:val="70193C05"/>
    <w:rsid w:val="70B143E6"/>
    <w:rsid w:val="71DF663A"/>
    <w:rsid w:val="73522364"/>
    <w:rsid w:val="735D6D19"/>
    <w:rsid w:val="73C64E24"/>
    <w:rsid w:val="74F40D41"/>
    <w:rsid w:val="7515127F"/>
    <w:rsid w:val="75FF2CB1"/>
    <w:rsid w:val="77AB1A05"/>
    <w:rsid w:val="77EBD207"/>
    <w:rsid w:val="7A73718F"/>
    <w:rsid w:val="7C8B55D7"/>
    <w:rsid w:val="7F2F244A"/>
    <w:rsid w:val="7F3B667C"/>
    <w:rsid w:val="7F964E72"/>
    <w:rsid w:val="7FAB0163"/>
    <w:rsid w:val="7FAE0E2E"/>
    <w:rsid w:val="7FF5B7ED"/>
    <w:rsid w:val="95B58DDF"/>
    <w:rsid w:val="BE9ED99D"/>
    <w:rsid w:val="BEFE37FB"/>
    <w:rsid w:val="C7BD6066"/>
    <w:rsid w:val="D3E1CB91"/>
    <w:rsid w:val="DBD938DF"/>
    <w:rsid w:val="E4FB8408"/>
    <w:rsid w:val="EEFD3DC3"/>
    <w:rsid w:val="EF6F92DD"/>
    <w:rsid w:val="EFE7794F"/>
    <w:rsid w:val="F1DE51DD"/>
    <w:rsid w:val="F3BF25D8"/>
    <w:rsid w:val="F73FBBC6"/>
    <w:rsid w:val="FA7115CC"/>
    <w:rsid w:val="FADDD2AF"/>
    <w:rsid w:val="FBF33091"/>
    <w:rsid w:val="FCFF2C71"/>
    <w:rsid w:val="FE325214"/>
    <w:rsid w:val="FE7B0660"/>
    <w:rsid w:val="FF96C15C"/>
    <w:rsid w:val="FFBFDA25"/>
    <w:rsid w:val="FFF649A3"/>
    <w:rsid w:val="FFF79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5">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val="0"/>
      <w:adjustRightInd/>
      <w:snapToGrid/>
      <w:spacing w:beforeAutospacing="1" w:after="0" w:afterAutospacing="1"/>
    </w:pPr>
    <w:rPr>
      <w:rFonts w:cs="Times New Roman" w:asciiTheme="minorHAnsi" w:hAnsiTheme="minorHAnsi" w:eastAsiaTheme="minorEastAsia"/>
      <w:sz w:val="24"/>
    </w:r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4408</Words>
  <Characters>4463</Characters>
  <Lines>0</Lines>
  <Paragraphs>0</Paragraphs>
  <TotalTime>3406</TotalTime>
  <ScaleCrop>false</ScaleCrop>
  <LinksUpToDate>false</LinksUpToDate>
  <CharactersWithSpaces>4514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2021-04-18T16:45:00Z</dcterms:created>
  <dc:creator>人面桃花</dc:creator>
  <cp:lastModifiedBy>Š</cp:lastModifiedBy>
  <cp:lastPrinted>2022-08-09T09:40:00Z</cp:lastPrinted>
  <dcterms:modified xsi:type="dcterms:W3CDTF">2022-08-18T07:24:55Z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D32B0CB80AC7439AA42388DB97ACA84A</vt:lpwstr>
  </property>
</Properties>
</file>