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关于《宿州市医疗保障基金运行分析制度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（试行）》的解读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2023年5月15日，宿州市医疗保障局印发了《宿州市医疗保障基金运行分析制度（试行）》（宿医保秘〔2023〕18号）以下简称《制度》，现将《制度》解读如下：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一、制定背景和依据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根据《国家医疗保障局办公室关于印发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基本医疗保险基金运行试评价方案和2019年试评价结果的通知》（医保办发〔2020〕43号）、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《国家医疗保障局办公室关于印发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2020年基本医疗保险基金运行评价方案和评价结果的通知》（医保办函〔2021〕1号）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文件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国家、省医保局关于基本医疗保险基金运行评价工作要求，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为充分发挥医疗保障统计数据在基金运行过程中的决策作用，建立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健全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数据分析机制，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科学研判基金运行趋势，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及时有效防控和化解基金运行风险，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为进一步明确基金运行分析指标和相关工作要求，加强综合分析评价，推动基金管理精细化、科学化、规范化，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结合本市实际，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制定本制度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1" w:firstLineChars="100"/>
        <w:jc w:val="both"/>
        <w:textAlignment w:val="auto"/>
        <w:rPr>
          <w:rFonts w:hint="eastAsia" w:eastAsia="仿宋_GB2312" w:asciiTheme="minorHAnsi" w:hAnsiTheme="minorHAnsi" w:cstheme="minorBidi"/>
          <w:b/>
          <w:bCs/>
          <w:color w:val="000000"/>
          <w:kern w:val="2"/>
          <w:sz w:val="31"/>
          <w:szCs w:val="20"/>
          <w:lang w:val="en-US" w:eastAsia="zh-CN" w:bidi="ar-SA"/>
        </w:rPr>
      </w:pPr>
      <w:r>
        <w:rPr>
          <w:rFonts w:hint="eastAsia" w:eastAsia="仿宋_GB2312" w:cstheme="minorBidi"/>
          <w:b/>
          <w:bCs/>
          <w:color w:val="000000"/>
          <w:kern w:val="2"/>
          <w:sz w:val="31"/>
          <w:szCs w:val="20"/>
          <w:lang w:val="en-US" w:eastAsia="zh-CN" w:bidi="ar-SA"/>
        </w:rPr>
        <w:t>二、研判和</w:t>
      </w:r>
      <w:r>
        <w:rPr>
          <w:rFonts w:hint="eastAsia" w:eastAsia="仿宋_GB2312" w:asciiTheme="minorHAnsi" w:hAnsiTheme="minorHAnsi" w:cstheme="minorBidi"/>
          <w:b/>
          <w:bCs/>
          <w:color w:val="000000"/>
          <w:kern w:val="2"/>
          <w:sz w:val="31"/>
          <w:szCs w:val="20"/>
          <w:lang w:val="en-US" w:eastAsia="zh-CN" w:bidi="ar-SA"/>
        </w:rPr>
        <w:t>起草过程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结合我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市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实际工作，起草了《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制度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》，为确保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《制度》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更加符合我市实际，更具可行性，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于3月16日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征求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各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县区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医保局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和局机关各科室、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局属各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中心意见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对内容进行细化、完善，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于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5月9日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通过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合法性审查；5月</w:t>
      </w:r>
      <w:r>
        <w:rPr>
          <w:rFonts w:hint="eastAsia" w:eastAsia="仿宋_GB2312" w:cstheme="minorBidi"/>
          <w:color w:val="000000"/>
          <w:kern w:val="2"/>
          <w:sz w:val="31"/>
          <w:szCs w:val="20"/>
          <w:lang w:val="en-US" w:eastAsia="zh-CN" w:bidi="ar-SA"/>
        </w:rPr>
        <w:t>12</w:t>
      </w:r>
      <w:r>
        <w:rPr>
          <w:rFonts w:hint="eastAsia" w:eastAsia="仿宋_GB2312" w:asciiTheme="minorHAnsi" w:hAnsiTheme="minorHAnsi" w:cstheme="minorBidi"/>
          <w:color w:val="000000"/>
          <w:kern w:val="2"/>
          <w:sz w:val="31"/>
          <w:szCs w:val="20"/>
          <w:lang w:val="en-US" w:eastAsia="zh-CN" w:bidi="ar-SA"/>
        </w:rPr>
        <w:t>日通过局长办公会议。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311" w:firstLineChars="100"/>
        <w:rPr>
          <w:rFonts w:hint="eastAsia" w:eastAsia="仿宋_GB2312" w:asciiTheme="minorHAnsi" w:hAnsiTheme="minorHAnsi" w:cstheme="minorBidi"/>
          <w:b/>
          <w:bCs/>
          <w:color w:val="000000"/>
          <w:kern w:val="2"/>
          <w:sz w:val="31"/>
          <w:szCs w:val="20"/>
          <w:lang w:val="en-US" w:eastAsia="zh-CN" w:bidi="ar-SA"/>
        </w:rPr>
      </w:pPr>
      <w:r>
        <w:rPr>
          <w:rFonts w:hint="eastAsia" w:eastAsia="仿宋_GB2312" w:cstheme="minorBidi"/>
          <w:b/>
          <w:bCs/>
          <w:color w:val="000000"/>
          <w:kern w:val="2"/>
          <w:sz w:val="31"/>
          <w:szCs w:val="20"/>
          <w:lang w:val="en-US" w:eastAsia="zh-CN" w:bidi="ar-SA"/>
        </w:rPr>
        <w:t>三、</w:t>
      </w:r>
      <w:r>
        <w:rPr>
          <w:rFonts w:hint="eastAsia" w:eastAsia="仿宋_GB2312" w:asciiTheme="minorHAnsi" w:hAnsiTheme="minorHAnsi" w:cstheme="minorBidi"/>
          <w:b/>
          <w:bCs/>
          <w:color w:val="000000"/>
          <w:kern w:val="2"/>
          <w:sz w:val="31"/>
          <w:szCs w:val="20"/>
          <w:lang w:val="en-US" w:eastAsia="zh-CN" w:bidi="ar-SA"/>
        </w:rPr>
        <w:t>工作目标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通过对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辖区医保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基金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运行情况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进行综合分析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发现制度可持续发展中存在问题，为下一步基金管理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使用提供政策性建议，促进基金良性运行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321" w:firstLineChars="1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主要内容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《制度》包括：总则、分析目的、分析内容、分析方法、指标预警和附则共计六章十八条。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《制度》分析的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目的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围绕基金运行基本情况，深入分析城镇职工基本医疗（含生育保险）、城乡居民基本医疗（含大病保险）和城乡医疗救助各项指标变化趋势，通过指标分析，总结经验，找出存在的问题及产生原因；分析内容主要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围绕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</w:rPr>
        <w:t>筹资缴费、待遇保障、基金效率、基金结余、医疗协同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  <w:lang w:eastAsia="zh-CN"/>
        </w:rPr>
        <w:t>和其他（包括异地就医、基金监管、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  <w:lang w:val="en-US" w:eastAsia="zh-CN"/>
        </w:rPr>
        <w:t>DIP运行等）等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</w:rPr>
        <w:t>个维度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  <w:lang w:eastAsia="zh-CN"/>
        </w:rPr>
        <w:t>展开分析。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五、下一步工作打算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在执行过程中，根据国家、省医保局工作要求和全局工作重点，结合工作实际完善、细化分析内容，以更好服务本地区医保政策制定。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六、解读人及政策咨询服务电话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解读人：宿州市医疗保障局规划财务和法规科鲍苑苑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咨询电话：0557-3060369</w:t>
      </w:r>
    </w:p>
    <w:bookmarkEnd w:id="0"/>
    <w:sectPr>
      <w:pgSz w:w="11906" w:h="16838"/>
      <w:pgMar w:top="1984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718B1"/>
    <w:multiLevelType w:val="singleLevel"/>
    <w:tmpl w:val="E9D718B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ODc0NTBlYzU3Mzk5ZGZhYmNkYzQ0NDJjZTQ4ZmUifQ=="/>
  </w:docVars>
  <w:rsids>
    <w:rsidRoot w:val="7EFD4E90"/>
    <w:rsid w:val="2FBC6847"/>
    <w:rsid w:val="3BCF36FA"/>
    <w:rsid w:val="3FFE04FD"/>
    <w:rsid w:val="49F72F73"/>
    <w:rsid w:val="4D4FA169"/>
    <w:rsid w:val="5CBDA33A"/>
    <w:rsid w:val="5F3E21F8"/>
    <w:rsid w:val="5F5E9758"/>
    <w:rsid w:val="5FDFD66A"/>
    <w:rsid w:val="5FEF860D"/>
    <w:rsid w:val="6BFB73D3"/>
    <w:rsid w:val="6E939153"/>
    <w:rsid w:val="6F7E3A88"/>
    <w:rsid w:val="6FFC4762"/>
    <w:rsid w:val="71D3F992"/>
    <w:rsid w:val="7366CFA5"/>
    <w:rsid w:val="776FB889"/>
    <w:rsid w:val="77DFDAE9"/>
    <w:rsid w:val="77FE593F"/>
    <w:rsid w:val="7B6F9100"/>
    <w:rsid w:val="7BFD3FD9"/>
    <w:rsid w:val="7EFD4E90"/>
    <w:rsid w:val="7F4F75B6"/>
    <w:rsid w:val="7F8F596A"/>
    <w:rsid w:val="7FF78B96"/>
    <w:rsid w:val="87FE2CE7"/>
    <w:rsid w:val="97F6D573"/>
    <w:rsid w:val="9BFE031C"/>
    <w:rsid w:val="9F9FA426"/>
    <w:rsid w:val="A7E68AA9"/>
    <w:rsid w:val="AE3B2594"/>
    <w:rsid w:val="AFEF4CC5"/>
    <w:rsid w:val="BBB9CCD2"/>
    <w:rsid w:val="CDCCC03E"/>
    <w:rsid w:val="D9D50B91"/>
    <w:rsid w:val="DFCF6473"/>
    <w:rsid w:val="DFDF695C"/>
    <w:rsid w:val="E69B8BBF"/>
    <w:rsid w:val="E7F7962A"/>
    <w:rsid w:val="F2D7B621"/>
    <w:rsid w:val="F7799DF2"/>
    <w:rsid w:val="FDB424AE"/>
    <w:rsid w:val="FEFF64FA"/>
    <w:rsid w:val="FF77F301"/>
    <w:rsid w:val="FFF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20"/>
    </w:rPr>
  </w:style>
  <w:style w:type="paragraph" w:customStyle="1" w:styleId="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2023-06-09T09:03:00Z</dcterms:created>
  <dc:creator>greatwall</dc:creator>
  <cp:lastModifiedBy>Š</cp:lastModifiedBy>
  <dcterms:modified xsi:type="dcterms:W3CDTF">2023-11-27T01:36:13Z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4C8C1BD30668430989F3AB9C72D5BD15_12</vt:lpwstr>
  </property>
</Properties>
</file>