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关于《宿州市医疗保障进一步支持中医药发展若干政策（2024年版）（征求意见稿）》的起草说明</w:t>
      </w:r>
    </w:p>
    <w:p>
      <w:pPr>
        <w:keepNext w:val="0"/>
        <w:keepLines w:val="0"/>
        <w:pageBreakBefore w:val="0"/>
        <w:widowControl w:val="0"/>
        <w:suppressAutoHyphens/>
        <w:kinsoku/>
        <w:wordWrap/>
        <w:overflowPunct/>
        <w:topLinePunct w:val="0"/>
        <w:autoSpaceDE/>
        <w:autoSpaceDN/>
        <w:bidi w:val="0"/>
        <w:adjustRightInd/>
        <w:snapToGrid/>
        <w:spacing w:line="600" w:lineRule="exact"/>
        <w:jc w:val="left"/>
        <w:textAlignment w:val="auto"/>
        <w:rPr>
          <w:rFonts w:hint="eastAsia" w:ascii="Times New Roman" w:hAnsi="Times New Roman" w:eastAsia="仿宋" w:cs="Times New Roman"/>
          <w:color w:val="000000"/>
          <w:kern w:val="0"/>
          <w:sz w:val="32"/>
          <w:szCs w:val="32"/>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lang w:eastAsia="zh-CN"/>
        </w:rPr>
        <w:t>一、</w:t>
      </w:r>
      <w:r>
        <w:rPr>
          <w:rFonts w:hint="eastAsia" w:ascii="方正黑体_GBK" w:hAnsi="方正黑体_GBK" w:eastAsia="方正黑体_GBK" w:cs="方正黑体_GBK"/>
          <w:color w:val="000000"/>
          <w:kern w:val="0"/>
          <w:sz w:val="32"/>
          <w:szCs w:val="32"/>
        </w:rPr>
        <w:t>起草背景和依据</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i w:val="0"/>
          <w:caps w:val="0"/>
          <w:color w:val="333333"/>
          <w:spacing w:val="0"/>
          <w:kern w:val="0"/>
          <w:sz w:val="32"/>
          <w:szCs w:val="32"/>
          <w:shd w:val="clear" w:color="auto" w:fill="FFFFFF"/>
          <w:lang w:val="en-US" w:eastAsia="zh-CN" w:bidi="ar"/>
        </w:rPr>
      </w:pPr>
      <w:r>
        <w:rPr>
          <w:rFonts w:hint="default" w:ascii="Times New Roman" w:hAnsi="Times New Roman" w:eastAsia="方正仿宋_GBK" w:cs="Times New Roman"/>
          <w:b w:val="0"/>
          <w:bCs w:val="0"/>
          <w:color w:val="000000"/>
          <w:spacing w:val="0"/>
          <w:w w:val="100"/>
          <w:position w:val="0"/>
          <w:sz w:val="32"/>
          <w:szCs w:val="32"/>
          <w:lang w:val="en-US" w:eastAsia="zh-CN"/>
        </w:rPr>
        <w:t>习近平总书记指出：要遵循中医药发展规律，传承精华，守正创新，坚持中西医并重，推动中医药和西医药相互补充、协调发展</w:t>
      </w:r>
      <w:r>
        <w:rPr>
          <w:rFonts w:hint="default" w:ascii="Times New Roman" w:hAnsi="Times New Roman" w:eastAsia="方正仿宋_GBK" w:cs="Times New Roman"/>
          <w:b w:val="0"/>
          <w:bCs w:val="0"/>
          <w:strike w:val="0"/>
          <w:dstrike w:val="0"/>
          <w:color w:val="000000"/>
          <w:spacing w:val="0"/>
          <w:w w:val="100"/>
          <w:position w:val="0"/>
          <w:sz w:val="32"/>
          <w:szCs w:val="32"/>
          <w:u w:val="none"/>
          <w:lang w:val="en-US" w:eastAsia="zh-CN"/>
        </w:rPr>
        <w:t>。</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依据</w:t>
      </w:r>
      <w:r>
        <w:rPr>
          <w:rFonts w:hint="default" w:ascii="Times New Roman" w:hAnsi="Times New Roman" w:eastAsia="方正仿宋_GBK" w:cs="Times New Roman"/>
          <w:b w:val="0"/>
          <w:bCs w:val="0"/>
          <w:color w:val="000000"/>
          <w:spacing w:val="0"/>
          <w:w w:val="100"/>
          <w:position w:val="0"/>
          <w:sz w:val="32"/>
          <w:szCs w:val="32"/>
          <w:lang w:val="en-US" w:eastAsia="zh-CN"/>
        </w:rPr>
        <w:t>《国家医疗保障局 国家中医药管理局关于医保支持中医药传承创新发展的指导意见》（医保函〔2021〕229号）和《安徽省医疗保障局 安徽省卫生健康委员会 安徽省中医药管理局关于印发安徽省医疗保障积极支持中医药发展若干政策的通知》（皖医保发〔2021〕5号）等文件精神。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黑体_GBK" w:cs="Times New Roman"/>
          <w:i w:val="0"/>
          <w:caps w:val="0"/>
          <w:color w:val="auto"/>
          <w:spacing w:val="0"/>
          <w:kern w:val="0"/>
          <w:sz w:val="32"/>
          <w:szCs w:val="32"/>
          <w:shd w:val="clear" w:color="auto" w:fill="FFFFFF"/>
          <w:lang w:val="zh-TW" w:eastAsia="zh-TW" w:bidi="ar"/>
        </w:rPr>
      </w:pPr>
      <w:r>
        <w:rPr>
          <w:rFonts w:hint="eastAsia" w:ascii="Times New Roman" w:hAnsi="Times New Roman" w:eastAsia="方正黑体_GBK" w:cs="Times New Roman"/>
          <w:i w:val="0"/>
          <w:caps w:val="0"/>
          <w:color w:val="auto"/>
          <w:spacing w:val="0"/>
          <w:kern w:val="0"/>
          <w:sz w:val="32"/>
          <w:szCs w:val="32"/>
          <w:shd w:val="clear" w:color="auto" w:fill="FFFFFF"/>
          <w:lang w:val="zh-TW" w:eastAsia="zh-TW" w:bidi="ar"/>
        </w:rPr>
        <w:t>二、起草过程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Times New Roman"/>
          <w:color w:val="7030A0"/>
          <w:sz w:val="32"/>
          <w:szCs w:val="32"/>
          <w:u w:val="single"/>
          <w:lang w:val="en-US" w:eastAsia="zh-CN"/>
        </w:rPr>
      </w:pPr>
      <w:r>
        <w:rPr>
          <w:rFonts w:hint="eastAsia" w:ascii="Times New Roman" w:hAnsi="Times New Roman" w:eastAsia="方正仿宋_GBK" w:cs="Times New Roman"/>
          <w:b w:val="0"/>
          <w:bCs w:val="0"/>
          <w:color w:val="000000"/>
          <w:spacing w:val="0"/>
          <w:w w:val="100"/>
          <w:position w:val="0"/>
          <w:sz w:val="32"/>
          <w:szCs w:val="32"/>
          <w:lang w:val="en-US" w:eastAsia="zh-CN"/>
        </w:rPr>
        <w:t>为了加强</w:t>
      </w:r>
      <w:r>
        <w:rPr>
          <w:rFonts w:hint="default" w:ascii="Times New Roman" w:hAnsi="Times New Roman" w:eastAsia="方正仿宋_GBK" w:cs="Times New Roman"/>
          <w:b w:val="0"/>
          <w:bCs w:val="0"/>
          <w:color w:val="000000"/>
          <w:spacing w:val="0"/>
          <w:w w:val="100"/>
          <w:position w:val="0"/>
          <w:sz w:val="32"/>
          <w:szCs w:val="32"/>
          <w:lang w:val="en-US" w:eastAsia="zh-CN"/>
        </w:rPr>
        <w:t>医保政策对中医药事业的支持力度，</w:t>
      </w:r>
      <w:r>
        <w:rPr>
          <w:rFonts w:hint="eastAsia" w:ascii="Times New Roman" w:hAnsi="Times New Roman" w:eastAsia="方正仿宋_GBK" w:cs="Times New Roman"/>
          <w:b w:val="0"/>
          <w:bCs w:val="0"/>
          <w:color w:val="000000"/>
          <w:spacing w:val="0"/>
          <w:w w:val="100"/>
          <w:position w:val="0"/>
          <w:sz w:val="32"/>
          <w:szCs w:val="32"/>
          <w:lang w:val="en-US" w:eastAsia="zh-CN"/>
        </w:rPr>
        <w:t>提升</w:t>
      </w:r>
      <w:r>
        <w:rPr>
          <w:rFonts w:hint="default" w:ascii="Times New Roman" w:hAnsi="Times New Roman" w:eastAsia="方正仿宋_GBK" w:cs="Times New Roman"/>
          <w:b w:val="0"/>
          <w:bCs w:val="0"/>
          <w:color w:val="000000"/>
          <w:spacing w:val="0"/>
          <w:w w:val="100"/>
          <w:position w:val="0"/>
          <w:sz w:val="32"/>
          <w:szCs w:val="32"/>
          <w:lang w:val="en-US" w:eastAsia="zh-CN"/>
        </w:rPr>
        <w:t>医保付费科学性、合理性，充分发挥中医药独具的</w:t>
      </w:r>
      <w:r>
        <w:rPr>
          <w:rFonts w:hint="eastAsia" w:ascii="方正仿宋_GBK" w:hAnsi="方正仿宋_GBK" w:eastAsia="方正仿宋_GBK" w:cs="方正仿宋_GBK"/>
          <w:b w:val="0"/>
          <w:bCs w:val="0"/>
          <w:color w:val="000000"/>
          <w:spacing w:val="0"/>
          <w:w w:val="100"/>
          <w:position w:val="0"/>
          <w:sz w:val="32"/>
          <w:szCs w:val="32"/>
          <w:lang w:val="en-US" w:eastAsia="zh-CN"/>
        </w:rPr>
        <w:t>“简、便、廉、验”</w:t>
      </w:r>
      <w:r>
        <w:rPr>
          <w:rFonts w:hint="default" w:ascii="Times New Roman" w:hAnsi="Times New Roman" w:eastAsia="方正仿宋_GBK" w:cs="Times New Roman"/>
          <w:b w:val="0"/>
          <w:bCs w:val="0"/>
          <w:color w:val="000000"/>
          <w:spacing w:val="0"/>
          <w:w w:val="100"/>
          <w:position w:val="0"/>
          <w:sz w:val="32"/>
          <w:szCs w:val="32"/>
          <w:lang w:val="en-US" w:eastAsia="zh-CN"/>
        </w:rPr>
        <w:t>特点</w:t>
      </w:r>
      <w:r>
        <w:rPr>
          <w:rFonts w:hint="eastAsia" w:ascii="Times New Roman" w:hAnsi="Times New Roman" w:eastAsia="方正仿宋_GBK" w:cs="Times New Roman"/>
          <w:b w:val="0"/>
          <w:bCs w:val="0"/>
          <w:color w:val="000000"/>
          <w:spacing w:val="0"/>
          <w:w w:val="100"/>
          <w:position w:val="0"/>
          <w:sz w:val="32"/>
          <w:szCs w:val="32"/>
          <w:lang w:val="en-US" w:eastAsia="zh-CN"/>
        </w:rPr>
        <w:t>，</w:t>
      </w:r>
      <w:r>
        <w:rPr>
          <w:rFonts w:hint="default" w:ascii="Times New Roman" w:hAnsi="Times New Roman" w:eastAsia="方正仿宋_GBK" w:cs="Times New Roman"/>
          <w:b w:val="0"/>
          <w:bCs w:val="0"/>
          <w:color w:val="000000"/>
          <w:spacing w:val="0"/>
          <w:w w:val="100"/>
          <w:position w:val="0"/>
          <w:sz w:val="32"/>
          <w:szCs w:val="32"/>
          <w:lang w:val="en-US" w:eastAsia="zh-CN"/>
        </w:rPr>
        <w:t>进一步完善中医药医保支持政策</w:t>
      </w:r>
      <w:r>
        <w:rPr>
          <w:rFonts w:hint="eastAsia" w:ascii="Times New Roman" w:hAnsi="Times New Roman" w:eastAsia="方正仿宋_GBK" w:cs="Times New Roman"/>
          <w:b w:val="0"/>
          <w:bCs w:val="0"/>
          <w:color w:val="000000"/>
          <w:spacing w:val="0"/>
          <w:w w:val="100"/>
          <w:position w:val="0"/>
          <w:sz w:val="32"/>
          <w:szCs w:val="32"/>
          <w:lang w:val="en-US" w:eastAsia="zh-CN"/>
        </w:rPr>
        <w:t>。根据</w:t>
      </w:r>
      <w:r>
        <w:rPr>
          <w:rFonts w:hint="default" w:ascii="Times New Roman" w:hAnsi="Times New Roman" w:eastAsia="方正仿宋_GBK" w:cs="Times New Roman"/>
          <w:b w:val="0"/>
          <w:bCs w:val="0"/>
          <w:color w:val="000000"/>
          <w:spacing w:val="0"/>
          <w:w w:val="100"/>
          <w:position w:val="0"/>
          <w:sz w:val="32"/>
          <w:szCs w:val="32"/>
          <w:lang w:val="en-US" w:eastAsia="zh-CN"/>
        </w:rPr>
        <w:t>《安徽省医疗保障局 安徽省卫生健康委员会 安徽省中医药管理局关于印发安徽省医疗保障积极支持中医药发展若干政策的通知》（皖医保发〔2021〕5号）</w:t>
      </w:r>
      <w:r>
        <w:rPr>
          <w:rFonts w:hint="eastAsia" w:ascii="Times New Roman" w:hAnsi="Times New Roman" w:eastAsia="方正仿宋_GBK" w:cs="Times New Roman"/>
          <w:b w:val="0"/>
          <w:bCs w:val="0"/>
          <w:color w:val="000000"/>
          <w:spacing w:val="0"/>
          <w:w w:val="100"/>
          <w:position w:val="0"/>
          <w:sz w:val="32"/>
          <w:szCs w:val="32"/>
          <w:lang w:val="en-US" w:eastAsia="zh-CN"/>
        </w:rPr>
        <w:t>文件要求，经过测算、专家论证草拟了</w:t>
      </w:r>
      <w:r>
        <w:rPr>
          <w:rFonts w:hint="eastAsia" w:ascii="Times New Roman" w:hAnsi="Times New Roman" w:eastAsia="仿宋" w:cs="Times New Roman"/>
          <w:color w:val="000000"/>
          <w:kern w:val="0"/>
          <w:sz w:val="32"/>
          <w:szCs w:val="32"/>
        </w:rPr>
        <w:t>《宿州市医疗保障进一步支持中医药发展若干政策（2024年版）</w:t>
      </w:r>
      <w:r>
        <w:rPr>
          <w:rFonts w:hint="eastAsia" w:ascii="Times New Roman" w:hAnsi="Times New Roman" w:eastAsia="方正仿宋_GBK" w:cs="Times New Roman"/>
          <w:b w:val="0"/>
          <w:bCs w:val="0"/>
          <w:color w:val="auto"/>
          <w:spacing w:val="0"/>
          <w:w w:val="100"/>
          <w:kern w:val="2"/>
          <w:position w:val="0"/>
          <w:sz w:val="32"/>
          <w:szCs w:val="32"/>
          <w:u w:val="none"/>
          <w:shd w:val="clear" w:color="auto" w:fill="auto"/>
          <w:lang w:val="zh-TW" w:eastAsia="zh-TW" w:bidi="zh-TW"/>
        </w:rPr>
        <w:t>（送审稿）</w:t>
      </w:r>
      <w:r>
        <w:rPr>
          <w:rFonts w:hint="eastAsia" w:ascii="Times New Roman" w:hAnsi="Times New Roman" w:eastAsia="仿宋" w:cs="Times New Roman"/>
          <w:color w:val="auto"/>
          <w:kern w:val="0"/>
          <w:sz w:val="32"/>
          <w:szCs w:val="32"/>
        </w:rPr>
        <w:t>》</w:t>
      </w:r>
      <w:r>
        <w:rPr>
          <w:rFonts w:hint="eastAsia" w:ascii="Times New Roman" w:hAnsi="Times New Roman" w:eastAsia="仿宋" w:cs="Times New Roman"/>
          <w:color w:val="auto"/>
          <w:kern w:val="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i w:val="0"/>
          <w:caps w:val="0"/>
          <w:color w:val="auto"/>
          <w:spacing w:val="0"/>
          <w:kern w:val="0"/>
          <w:sz w:val="32"/>
          <w:szCs w:val="32"/>
          <w:shd w:val="clear" w:color="auto" w:fill="FFFFFF"/>
          <w:lang w:val="en-US" w:eastAsia="zh-CN" w:bidi="ar"/>
        </w:rPr>
      </w:pPr>
      <w:r>
        <w:rPr>
          <w:rFonts w:hint="eastAsia" w:ascii="Times New Roman" w:hAnsi="Times New Roman" w:eastAsia="方正黑体_GBK" w:cs="Times New Roman"/>
          <w:i w:val="0"/>
          <w:caps w:val="0"/>
          <w:color w:val="auto"/>
          <w:spacing w:val="0"/>
          <w:kern w:val="0"/>
          <w:sz w:val="32"/>
          <w:szCs w:val="32"/>
          <w:shd w:val="clear" w:color="auto" w:fill="FFFFFF"/>
          <w:lang w:val="en-US" w:eastAsia="zh-CN" w:bidi="ar"/>
        </w:rPr>
        <w:t>三、</w:t>
      </w:r>
      <w:r>
        <w:rPr>
          <w:rFonts w:hint="default" w:ascii="Times New Roman" w:hAnsi="Times New Roman" w:eastAsia="方正黑体_GBK" w:cs="Times New Roman"/>
          <w:i w:val="0"/>
          <w:caps w:val="0"/>
          <w:color w:val="auto"/>
          <w:spacing w:val="0"/>
          <w:kern w:val="0"/>
          <w:sz w:val="32"/>
          <w:szCs w:val="32"/>
          <w:shd w:val="clear" w:color="auto" w:fill="FFFFFF"/>
          <w:lang w:val="en-US" w:eastAsia="zh-CN" w:bidi="ar"/>
        </w:rPr>
        <w:t>主要内容</w:t>
      </w:r>
    </w:p>
    <w:p>
      <w:pPr>
        <w:pStyle w:val="10"/>
        <w:keepNext w:val="0"/>
        <w:keepLines w:val="0"/>
        <w:pageBreakBefore w:val="0"/>
        <w:widowControl w:val="0"/>
        <w:numPr>
          <w:ilvl w:val="0"/>
          <w:numId w:val="0"/>
        </w:numPr>
        <w:shd w:val="clear" w:color="auto" w:fill="auto"/>
        <w:tabs>
          <w:tab w:val="left" w:pos="1355"/>
        </w:tabs>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spacing w:val="0"/>
          <w:w w:val="100"/>
          <w:kern w:val="2"/>
          <w:position w:val="0"/>
          <w:sz w:val="32"/>
          <w:szCs w:val="32"/>
          <w:u w:val="none"/>
          <w:shd w:val="clear" w:color="auto" w:fill="auto"/>
          <w:lang w:val="en-US" w:eastAsia="zh-CN" w:bidi="zh-TW"/>
        </w:rPr>
      </w:pPr>
      <w:r>
        <w:rPr>
          <w:rFonts w:hint="default" w:ascii="Times New Roman" w:hAnsi="Times New Roman" w:eastAsia="方正仿宋_GBK" w:cs="Times New Roman"/>
          <w:sz w:val="32"/>
          <w:szCs w:val="32"/>
          <w:lang w:val="zh-CN" w:eastAsia="zh-CN"/>
        </w:rPr>
        <w:t>《</w:t>
      </w:r>
      <w:r>
        <w:rPr>
          <w:rFonts w:hint="default" w:ascii="Times New Roman" w:hAnsi="Times New Roman" w:eastAsia="方正仿宋_GBK" w:cs="Times New Roman"/>
          <w:sz w:val="32"/>
          <w:szCs w:val="32"/>
          <w:lang w:val="en-US" w:eastAsia="zh-CN"/>
        </w:rPr>
        <w:t>若干</w:t>
      </w:r>
      <w:r>
        <w:rPr>
          <w:rFonts w:hint="default" w:ascii="Times New Roman" w:hAnsi="Times New Roman" w:eastAsia="方正仿宋_GBK" w:cs="Times New Roman"/>
          <w:sz w:val="32"/>
          <w:szCs w:val="32"/>
          <w:lang w:val="zh-CN" w:eastAsia="zh-CN"/>
        </w:rPr>
        <w:t>政策》</w:t>
      </w:r>
      <w:r>
        <w:rPr>
          <w:rFonts w:hint="default" w:ascii="Times New Roman" w:hAnsi="Times New Roman" w:eastAsia="方正仿宋_GBK" w:cs="Times New Roman"/>
          <w:sz w:val="32"/>
          <w:szCs w:val="32"/>
          <w:lang w:val="en-US" w:eastAsia="zh-CN"/>
        </w:rPr>
        <w:t>主要有以下内容</w:t>
      </w:r>
      <w:r>
        <w:rPr>
          <w:rFonts w:hint="default" w:ascii="Times New Roman" w:hAnsi="Times New Roman" w:eastAsia="方正仿宋_GBK" w:cs="Times New Roman"/>
          <w:b w:val="0"/>
          <w:bCs w:val="0"/>
          <w:color w:val="000000"/>
          <w:spacing w:val="0"/>
          <w:w w:val="100"/>
          <w:kern w:val="2"/>
          <w:position w:val="0"/>
          <w:sz w:val="32"/>
          <w:szCs w:val="32"/>
          <w:u w:val="none"/>
          <w:shd w:val="clear" w:color="auto" w:fill="auto"/>
          <w:lang w:val="en-US" w:eastAsia="zh-CN" w:bidi="zh-TW"/>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000000"/>
          <w:spacing w:val="0"/>
          <w:w w:val="100"/>
          <w:kern w:val="2"/>
          <w:position w:val="0"/>
          <w:sz w:val="32"/>
          <w:szCs w:val="32"/>
          <w:u w:val="none"/>
          <w:shd w:val="clear" w:color="auto" w:fill="auto"/>
          <w:lang w:val="en-US" w:eastAsia="zh-CN" w:bidi="zh-TW"/>
        </w:rPr>
      </w:pPr>
      <w:r>
        <w:rPr>
          <w:rFonts w:hint="eastAsia" w:ascii="方正楷体_GBK" w:hAnsi="方正楷体_GBK" w:eastAsia="方正楷体_GBK" w:cs="方正楷体_GBK"/>
          <w:b w:val="0"/>
          <w:bCs w:val="0"/>
          <w:color w:val="000000"/>
          <w:spacing w:val="0"/>
          <w:w w:val="100"/>
          <w:position w:val="0"/>
          <w:sz w:val="32"/>
          <w:szCs w:val="32"/>
          <w:lang w:val="en-US" w:eastAsia="zh-CN"/>
        </w:rPr>
        <w:t>（一）增加优势病种数量，实施同病同质同价。</w:t>
      </w:r>
      <w:r>
        <w:rPr>
          <w:rFonts w:hint="eastAsia" w:ascii="方正仿宋_GBK" w:hAnsi="方正仿宋_GBK" w:eastAsia="方正仿宋_GBK" w:cs="方正仿宋_GBK"/>
          <w:b w:val="0"/>
          <w:bCs w:val="0"/>
          <w:color w:val="000000"/>
          <w:spacing w:val="0"/>
          <w:w w:val="100"/>
          <w:kern w:val="2"/>
          <w:position w:val="0"/>
          <w:sz w:val="32"/>
          <w:szCs w:val="32"/>
          <w:u w:val="none"/>
          <w:shd w:val="clear" w:color="auto" w:fill="auto"/>
          <w:lang w:val="en-US" w:eastAsia="zh-CN" w:bidi="zh-TW"/>
        </w:rPr>
        <w:t>按照“中医优势突出、诊疗方案确切、治疗风险可控、出院标准明确”的原则，结合我市中医药发展状况和中医优势病种特点，在总结前期经验基础上，分批遴选确定适宜中医优势病种，并动态调整发布。</w:t>
      </w:r>
    </w:p>
    <w:p>
      <w:pPr>
        <w:pStyle w:val="10"/>
        <w:keepNext w:val="0"/>
        <w:keepLines w:val="0"/>
        <w:pageBreakBefore w:val="0"/>
        <w:widowControl w:val="0"/>
        <w:numPr>
          <w:ilvl w:val="0"/>
          <w:numId w:val="0"/>
        </w:numPr>
        <w:shd w:val="clear" w:color="auto" w:fill="auto"/>
        <w:tabs>
          <w:tab w:val="left" w:pos="1355"/>
        </w:tabs>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spacing w:val="0"/>
          <w:w w:val="100"/>
          <w:position w:val="0"/>
          <w:sz w:val="32"/>
          <w:szCs w:val="32"/>
          <w:lang w:val="en-US" w:eastAsia="zh-CN"/>
        </w:rPr>
      </w:pPr>
      <w:r>
        <w:rPr>
          <w:rFonts w:hint="default" w:ascii="方正楷体_GBK" w:hAnsi="方正楷体_GBK" w:eastAsia="方正楷体_GBK" w:cs="方正楷体_GBK"/>
          <w:b w:val="0"/>
          <w:bCs w:val="0"/>
          <w:color w:val="000000"/>
          <w:spacing w:val="0"/>
          <w:w w:val="100"/>
          <w:kern w:val="2"/>
          <w:position w:val="0"/>
          <w:sz w:val="32"/>
          <w:szCs w:val="32"/>
          <w:u w:val="none"/>
          <w:shd w:val="clear"/>
          <w:lang w:val="en-US" w:eastAsia="zh-CN" w:bidi="ar-SA"/>
        </w:rPr>
        <w:t>（二）探索病种分值激励，支持中医学科建设。</w:t>
      </w:r>
      <w:r>
        <w:rPr>
          <w:rFonts w:hint="default" w:ascii="Times New Roman" w:hAnsi="Times New Roman" w:eastAsia="方正仿宋_GBK" w:cs="Times New Roman"/>
          <w:b w:val="0"/>
          <w:bCs w:val="0"/>
          <w:color w:val="000000"/>
          <w:spacing w:val="0"/>
          <w:w w:val="100"/>
          <w:position w:val="0"/>
          <w:sz w:val="32"/>
          <w:szCs w:val="32"/>
          <w:lang w:val="en-US" w:eastAsia="zh-CN"/>
        </w:rPr>
        <w:t>在DIP改革框架内，对我市定点中医医疗机构经国家、省、市卫生健康部门认定的国家、省、市级重点专科，分别给予在原分值基础上增加20%、10%、5%的激励。</w:t>
      </w:r>
    </w:p>
    <w:p>
      <w:pPr>
        <w:pStyle w:val="10"/>
        <w:keepNext w:val="0"/>
        <w:keepLines w:val="0"/>
        <w:pageBreakBefore w:val="0"/>
        <w:widowControl w:val="0"/>
        <w:numPr>
          <w:ilvl w:val="0"/>
          <w:numId w:val="0"/>
        </w:numPr>
        <w:shd w:val="clear" w:color="auto" w:fill="auto"/>
        <w:tabs>
          <w:tab w:val="left" w:pos="1355"/>
        </w:tabs>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b w:val="0"/>
          <w:bCs w:val="0"/>
          <w:strike w:val="0"/>
          <w:dstrike w:val="0"/>
          <w:color w:val="000000"/>
          <w:spacing w:val="0"/>
          <w:w w:val="100"/>
          <w:position w:val="0"/>
          <w:sz w:val="32"/>
          <w:szCs w:val="32"/>
        </w:rPr>
      </w:pPr>
      <w:r>
        <w:rPr>
          <w:rFonts w:hint="default" w:ascii="方正楷体_GBK" w:hAnsi="方正楷体_GBK" w:eastAsia="方正楷体_GBK" w:cs="方正楷体_GBK"/>
          <w:b w:val="0"/>
          <w:bCs w:val="0"/>
          <w:strike w:val="0"/>
          <w:dstrike w:val="0"/>
          <w:color w:val="000000"/>
          <w:spacing w:val="0"/>
          <w:w w:val="100"/>
          <w:kern w:val="2"/>
          <w:position w:val="0"/>
          <w:sz w:val="32"/>
          <w:szCs w:val="32"/>
          <w:u w:val="none"/>
          <w:shd w:val="clear"/>
          <w:lang w:val="en-US" w:eastAsia="zh-CN" w:bidi="ar-SA"/>
        </w:rPr>
        <w:t>（三）中医机构应纳尽纳，充分发挥中医优势。</w:t>
      </w:r>
      <w:r>
        <w:rPr>
          <w:rFonts w:hint="default" w:ascii="Times New Roman" w:hAnsi="Times New Roman" w:eastAsia="方正仿宋_GBK" w:cs="Times New Roman"/>
          <w:b w:val="0"/>
          <w:bCs w:val="0"/>
          <w:strike w:val="0"/>
          <w:dstrike w:val="0"/>
          <w:color w:val="000000"/>
          <w:spacing w:val="0"/>
          <w:w w:val="100"/>
          <w:position w:val="0"/>
          <w:sz w:val="32"/>
          <w:szCs w:val="32"/>
        </w:rPr>
        <w:t>按照</w:t>
      </w:r>
      <w:r>
        <w:rPr>
          <w:rFonts w:hint="eastAsia" w:ascii="方正仿宋_GBK" w:hAnsi="方正仿宋_GBK" w:eastAsia="方正仿宋_GBK" w:cs="方正仿宋_GBK"/>
          <w:b w:val="0"/>
          <w:bCs w:val="0"/>
          <w:strike w:val="0"/>
          <w:dstrike w:val="0"/>
          <w:color w:val="000000"/>
          <w:spacing w:val="0"/>
          <w:w w:val="100"/>
          <w:position w:val="0"/>
          <w:sz w:val="32"/>
          <w:szCs w:val="32"/>
        </w:rPr>
        <w:t>“自愿申请、应纳尽纳”</w:t>
      </w:r>
      <w:r>
        <w:rPr>
          <w:rFonts w:hint="default" w:ascii="Times New Roman" w:hAnsi="Times New Roman" w:eastAsia="方正仿宋_GBK" w:cs="Times New Roman"/>
          <w:b w:val="0"/>
          <w:bCs w:val="0"/>
          <w:strike w:val="0"/>
          <w:dstrike w:val="0"/>
          <w:color w:val="000000"/>
          <w:spacing w:val="0"/>
          <w:w w:val="100"/>
          <w:position w:val="0"/>
          <w:sz w:val="32"/>
          <w:szCs w:val="32"/>
        </w:rPr>
        <w:t>原则，积极将符合条件的中医</w:t>
      </w:r>
      <w:r>
        <w:rPr>
          <w:rFonts w:hint="default" w:ascii="Times New Roman" w:hAnsi="Times New Roman" w:eastAsia="方正仿宋_GBK" w:cs="Times New Roman"/>
          <w:b w:val="0"/>
          <w:bCs w:val="0"/>
          <w:strike w:val="0"/>
          <w:dstrike w:val="0"/>
          <w:color w:val="000000"/>
          <w:spacing w:val="0"/>
          <w:w w:val="100"/>
          <w:position w:val="0"/>
          <w:sz w:val="32"/>
          <w:szCs w:val="32"/>
          <w:lang w:val="en-US" w:eastAsia="zh-CN"/>
        </w:rPr>
        <w:t>医疗机构</w:t>
      </w:r>
      <w:r>
        <w:rPr>
          <w:rFonts w:hint="default" w:ascii="Times New Roman" w:hAnsi="Times New Roman" w:eastAsia="方正仿宋_GBK" w:cs="Times New Roman"/>
          <w:b w:val="0"/>
          <w:bCs w:val="0"/>
          <w:strike w:val="0"/>
          <w:dstrike w:val="0"/>
          <w:color w:val="000000"/>
          <w:spacing w:val="0"/>
          <w:w w:val="100"/>
          <w:position w:val="0"/>
          <w:sz w:val="32"/>
          <w:szCs w:val="32"/>
        </w:rPr>
        <w:t>纳入医保定点范围</w:t>
      </w:r>
      <w:r>
        <w:rPr>
          <w:rFonts w:hint="default" w:ascii="Times New Roman" w:hAnsi="Times New Roman" w:eastAsia="方正仿宋_GBK" w:cs="Times New Roman"/>
          <w:b w:val="0"/>
          <w:bCs w:val="0"/>
          <w:strike w:val="0"/>
          <w:dstrike w:val="0"/>
          <w:color w:val="000000"/>
          <w:spacing w:val="0"/>
          <w:w w:val="100"/>
          <w:position w:val="0"/>
          <w:sz w:val="32"/>
          <w:szCs w:val="32"/>
          <w:lang w:eastAsia="zh-CN"/>
        </w:rPr>
        <w:t>，</w:t>
      </w:r>
      <w:r>
        <w:rPr>
          <w:rFonts w:hint="default" w:ascii="Times New Roman" w:hAnsi="Times New Roman" w:eastAsia="方正仿宋_GBK" w:cs="Times New Roman"/>
          <w:b w:val="0"/>
          <w:bCs w:val="0"/>
          <w:strike w:val="0"/>
          <w:dstrike w:val="0"/>
          <w:color w:val="000000"/>
          <w:spacing w:val="0"/>
          <w:w w:val="100"/>
          <w:position w:val="0"/>
          <w:sz w:val="32"/>
          <w:szCs w:val="32"/>
        </w:rPr>
        <w:t>及时将符合条件的中医医疗机构纳入职工门诊统筹定点管理。</w:t>
      </w:r>
    </w:p>
    <w:p>
      <w:pPr>
        <w:pStyle w:val="10"/>
        <w:keepNext w:val="0"/>
        <w:keepLines w:val="0"/>
        <w:pageBreakBefore w:val="0"/>
        <w:widowControl w:val="0"/>
        <w:numPr>
          <w:ilvl w:val="0"/>
          <w:numId w:val="0"/>
        </w:numPr>
        <w:shd w:val="clear" w:color="auto" w:fill="auto"/>
        <w:tabs>
          <w:tab w:val="left" w:pos="1355"/>
        </w:tabs>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仿宋" w:cs="Times New Roman"/>
          <w:color w:val="000000"/>
          <w:kern w:val="0"/>
          <w:sz w:val="32"/>
          <w:szCs w:val="32"/>
        </w:rPr>
      </w:pPr>
      <w:r>
        <w:rPr>
          <w:rFonts w:hint="default" w:ascii="方正楷体_GBK" w:hAnsi="方正楷体_GBK" w:eastAsia="方正楷体_GBK" w:cs="方正楷体_GBK"/>
          <w:b w:val="0"/>
          <w:bCs w:val="0"/>
          <w:strike w:val="0"/>
          <w:dstrike w:val="0"/>
          <w:color w:val="000000"/>
          <w:spacing w:val="0"/>
          <w:w w:val="100"/>
          <w:kern w:val="2"/>
          <w:position w:val="0"/>
          <w:sz w:val="32"/>
          <w:szCs w:val="32"/>
          <w:u w:val="none"/>
          <w:shd w:val="clear"/>
          <w:lang w:val="en-US" w:eastAsia="zh-CN" w:bidi="ar-SA"/>
        </w:rPr>
        <w:t>（四）动态调整付费标准，提升中医病案质量。</w:t>
      </w:r>
      <w:r>
        <w:rPr>
          <w:rFonts w:hint="default" w:ascii="Times New Roman" w:hAnsi="Times New Roman" w:eastAsia="方正仿宋_GBK" w:cs="Times New Roman"/>
          <w:b w:val="0"/>
          <w:bCs w:val="0"/>
          <w:strike w:val="0"/>
          <w:dstrike w:val="0"/>
          <w:color w:val="000000"/>
          <w:spacing w:val="0"/>
          <w:w w:val="100"/>
          <w:kern w:val="2"/>
          <w:position w:val="0"/>
          <w:sz w:val="32"/>
          <w:szCs w:val="32"/>
          <w:u w:val="none"/>
          <w:shd w:val="clear" w:color="auto" w:fill="auto"/>
          <w:lang w:val="zh-TW" w:eastAsia="zh-TW" w:bidi="zh-TW"/>
        </w:rPr>
        <w:t>动态调整针对中医病种的目录库和付费标准。通过医疗机构</w:t>
      </w:r>
      <w:r>
        <w:rPr>
          <w:rFonts w:hint="default" w:ascii="Times New Roman" w:hAnsi="Times New Roman" w:eastAsia="方正仿宋_GBK" w:cs="Times New Roman"/>
          <w:b w:val="0"/>
          <w:bCs w:val="0"/>
          <w:strike w:val="0"/>
          <w:dstrike w:val="0"/>
          <w:color w:val="000000"/>
          <w:spacing w:val="0"/>
          <w:w w:val="100"/>
          <w:kern w:val="2"/>
          <w:position w:val="0"/>
          <w:sz w:val="32"/>
          <w:szCs w:val="32"/>
          <w:u w:val="none"/>
          <w:shd w:val="clear" w:color="auto" w:fill="auto"/>
          <w:lang w:val="en-US" w:eastAsia="zh-CN" w:bidi="zh-TW"/>
        </w:rPr>
        <w:t>层级</w:t>
      </w:r>
      <w:r>
        <w:rPr>
          <w:rFonts w:hint="default" w:ascii="Times New Roman" w:hAnsi="Times New Roman" w:eastAsia="方正仿宋_GBK" w:cs="Times New Roman"/>
          <w:b w:val="0"/>
          <w:bCs w:val="0"/>
          <w:strike w:val="0"/>
          <w:dstrike w:val="0"/>
          <w:color w:val="000000"/>
          <w:spacing w:val="0"/>
          <w:w w:val="100"/>
          <w:kern w:val="2"/>
          <w:position w:val="0"/>
          <w:sz w:val="32"/>
          <w:szCs w:val="32"/>
          <w:u w:val="none"/>
          <w:shd w:val="clear" w:color="auto" w:fill="auto"/>
          <w:lang w:val="zh-TW" w:eastAsia="zh-TW" w:bidi="zh-TW"/>
        </w:rPr>
        <w:t>系数分别向基层医疗机构，以及诊疗费用中中医特色诊疗技术成本、人力成本占比较高的病种倾斜，提高中医药从业人员积极性。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ODc0NTBlYzU3Mzk5ZGZhYmNkYzQ0NDJjZTQ4ZmUifQ=="/>
  </w:docVars>
  <w:rsids>
    <w:rsidRoot w:val="F5CC2F1A"/>
    <w:rsid w:val="16FE235B"/>
    <w:rsid w:val="27A95220"/>
    <w:rsid w:val="2BFB1FC8"/>
    <w:rsid w:val="2FB715DB"/>
    <w:rsid w:val="3E7914D8"/>
    <w:rsid w:val="4FD9943E"/>
    <w:rsid w:val="557F60F6"/>
    <w:rsid w:val="5FFFA137"/>
    <w:rsid w:val="5FFFEAC3"/>
    <w:rsid w:val="67FA4A71"/>
    <w:rsid w:val="6EF3EBA1"/>
    <w:rsid w:val="73AD95CC"/>
    <w:rsid w:val="74FBF969"/>
    <w:rsid w:val="75F6F9ED"/>
    <w:rsid w:val="76FBBCBA"/>
    <w:rsid w:val="77CE8FFD"/>
    <w:rsid w:val="7BEFF22D"/>
    <w:rsid w:val="7E3DE54E"/>
    <w:rsid w:val="7EF982DF"/>
    <w:rsid w:val="7F5B5C1C"/>
    <w:rsid w:val="7F7F25FC"/>
    <w:rsid w:val="7FD6B1B1"/>
    <w:rsid w:val="7FDE9A7E"/>
    <w:rsid w:val="AEF69900"/>
    <w:rsid w:val="BEDFC79C"/>
    <w:rsid w:val="BFFE629F"/>
    <w:rsid w:val="CFFF713A"/>
    <w:rsid w:val="DBD77A65"/>
    <w:rsid w:val="DD7BC68C"/>
    <w:rsid w:val="DF77E1A0"/>
    <w:rsid w:val="EEFFB864"/>
    <w:rsid w:val="EF9F64C8"/>
    <w:rsid w:val="F5CC2F1A"/>
    <w:rsid w:val="F7E78959"/>
    <w:rsid w:val="FBEE898F"/>
    <w:rsid w:val="FE620DD6"/>
    <w:rsid w:val="FFBF3C35"/>
    <w:rsid w:val="FFDFE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pPr>
    <w:rPr>
      <w:rFonts w:eastAsia="方正仿宋简体"/>
      <w:szCs w:val="32"/>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pPr>
    <w:rPr>
      <w:rFonts w:ascii="Calibri" w:hAnsi="Calibri"/>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8">
    <w:name w:val="Heading #2|1"/>
    <w:basedOn w:val="1"/>
    <w:autoRedefine/>
    <w:qFormat/>
    <w:uiPriority w:val="0"/>
    <w:pPr>
      <w:widowControl w:val="0"/>
      <w:shd w:val="clear" w:color="auto" w:fill="auto"/>
      <w:spacing w:after="500" w:line="605"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9">
    <w:name w:val="_Style 2"/>
    <w:basedOn w:val="1"/>
    <w:next w:val="4"/>
    <w:qFormat/>
    <w:uiPriority w:val="0"/>
    <w:pPr>
      <w:spacing w:line="351" w:lineRule="atLeast"/>
      <w:ind w:firstLine="623"/>
      <w:textAlignment w:val="baseline"/>
    </w:pPr>
    <w:rPr>
      <w:rFonts w:ascii="Times New Roman"/>
      <w:color w:val="000000"/>
      <w:sz w:val="31"/>
      <w:szCs w:val="31"/>
    </w:rPr>
  </w:style>
  <w:style w:type="paragraph" w:customStyle="1" w:styleId="10">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2024-02-02T08:08:00Z</dcterms:created>
  <dc:creator>greatwall</dc:creator>
  <cp:lastModifiedBy>Š</cp:lastModifiedBy>
  <dcterms:modified xsi:type="dcterms:W3CDTF">2024-02-04T03:51:28Z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DEAA60FE3B474CBCA256691DAE230970_12</vt:lpwstr>
  </property>
</Properties>
</file>