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0" w:beforeAutospacing="0" w:after="0" w:afterAutospacing="0" w:line="640" w:lineRule="exact"/>
        <w:jc w:val="center"/>
        <w:rPr>
          <w:rFonts w:ascii="方正大标宋简体" w:eastAsia="方正大标宋简体"/>
          <w:b/>
          <w:color w:val="auto"/>
          <w:sz w:val="48"/>
          <w:szCs w:val="48"/>
        </w:rPr>
      </w:pPr>
    </w:p>
    <w:p>
      <w:pPr>
        <w:pStyle w:val="8"/>
        <w:spacing w:before="0" w:beforeAutospacing="0" w:after="0" w:afterAutospacing="0" w:line="640" w:lineRule="exact"/>
        <w:jc w:val="center"/>
        <w:rPr>
          <w:rFonts w:ascii="方正大标宋简体" w:eastAsia="方正大标宋简体"/>
          <w:b/>
          <w:color w:val="auto"/>
          <w:sz w:val="48"/>
          <w:szCs w:val="48"/>
        </w:rPr>
      </w:pPr>
      <w:r>
        <w:rPr>
          <w:rFonts w:hint="eastAsia" w:ascii="方正大标宋简体" w:eastAsia="方正大标宋简体"/>
          <w:b/>
          <w:color w:val="auto"/>
          <w:sz w:val="48"/>
          <w:szCs w:val="48"/>
        </w:rPr>
        <w:t>宿州市基本医疗保险定点医疗机构</w:t>
      </w:r>
    </w:p>
    <w:p>
      <w:pPr>
        <w:pStyle w:val="8"/>
        <w:spacing w:before="0" w:beforeAutospacing="0" w:after="0" w:afterAutospacing="0" w:line="640" w:lineRule="exact"/>
        <w:jc w:val="center"/>
        <w:rPr>
          <w:rFonts w:ascii="方正大标宋简体" w:eastAsia="方正大标宋简体"/>
          <w:color w:val="auto"/>
          <w:sz w:val="48"/>
          <w:szCs w:val="48"/>
        </w:rPr>
      </w:pPr>
      <w:r>
        <w:rPr>
          <w:rFonts w:hint="eastAsia" w:ascii="方正大标宋简体" w:eastAsia="方正大标宋简体"/>
          <w:b/>
          <w:color w:val="auto"/>
          <w:sz w:val="48"/>
          <w:szCs w:val="48"/>
        </w:rPr>
        <w:t>医疗服务协议范本（试行）</w:t>
      </w:r>
    </w:p>
    <w:p>
      <w:pPr>
        <w:pStyle w:val="8"/>
        <w:spacing w:before="0" w:beforeAutospacing="0" w:after="0" w:afterAutospacing="0" w:line="640" w:lineRule="exact"/>
        <w:jc w:val="center"/>
        <w:rPr>
          <w:rFonts w:ascii="仿宋_GB2312" w:hAnsi="Times New Roman" w:eastAsia="仿宋_GB2312" w:cs="Times New Roman"/>
          <w:color w:val="auto"/>
          <w:kern w:val="2"/>
          <w:sz w:val="28"/>
          <w:szCs w:val="28"/>
        </w:rPr>
      </w:pPr>
    </w:p>
    <w:p>
      <w:pPr>
        <w:widowControl/>
        <w:spacing w:before="150" w:after="150"/>
        <w:ind w:firstLine="1350" w:firstLineChars="450"/>
        <w:rPr>
          <w:rFonts w:ascii="方正小标宋简体" w:eastAsia="方正小标宋简体" w:cs="方正小标宋简体"/>
          <w:kern w:val="0"/>
          <w:sz w:val="30"/>
          <w:szCs w:val="30"/>
        </w:rPr>
      </w:pPr>
      <w:r>
        <w:rPr>
          <w:rFonts w:hint="eastAsia" w:ascii="方正小标宋简体" w:hAnsi="宋体" w:eastAsia="方正小标宋简体" w:cs="方正小标宋简体"/>
          <w:kern w:val="0"/>
          <w:sz w:val="30"/>
          <w:szCs w:val="30"/>
        </w:rPr>
        <w:t>甲    方：</w:t>
      </w:r>
      <w:r>
        <w:rPr>
          <w:rFonts w:hint="eastAsia" w:ascii="方正小标宋简体" w:hAnsi="宋体" w:eastAsia="方正小标宋简体" w:cs="方正小标宋简体"/>
          <w:kern w:val="0"/>
          <w:sz w:val="30"/>
          <w:szCs w:val="30"/>
          <w:u w:val="single"/>
        </w:rPr>
        <w:t>　</w:t>
      </w:r>
    </w:p>
    <w:p>
      <w:pPr>
        <w:widowControl/>
        <w:spacing w:before="150" w:after="150"/>
        <w:rPr>
          <w:rFonts w:ascii="方正小标宋简体" w:hAnsi="宋体" w:eastAsia="方正小标宋简体" w:cs="方正小标宋简体"/>
          <w:kern w:val="0"/>
          <w:sz w:val="30"/>
          <w:szCs w:val="30"/>
          <w:u w:val="single"/>
        </w:rPr>
      </w:pPr>
      <w:r>
        <w:rPr>
          <w:rFonts w:hint="eastAsia" w:ascii="方正小标宋简体" w:hAnsi="宋体" w:eastAsia="方正小标宋简体" w:cs="方正小标宋简体"/>
          <w:kern w:val="0"/>
          <w:sz w:val="30"/>
          <w:szCs w:val="30"/>
        </w:rPr>
        <w:t>法定代表人或委托代理人：</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rPr>
        <w:br w:type="textWrapping"/>
      </w:r>
      <w:r>
        <w:rPr>
          <w:rFonts w:hint="eastAsia" w:ascii="方正小标宋简体" w:hAnsi="宋体" w:eastAsia="方正小标宋简体" w:cs="方正小标宋简体"/>
          <w:kern w:val="0"/>
          <w:sz w:val="30"/>
          <w:szCs w:val="30"/>
        </w:rPr>
        <w:t>地　　址：</w:t>
      </w:r>
    </w:p>
    <w:p>
      <w:pPr>
        <w:widowControl/>
        <w:spacing w:before="150" w:after="150"/>
        <w:rPr>
          <w:rFonts w:ascii="楷体_GB2312" w:eastAsia="楷体_GB2312" w:cs="楷体_GB2312"/>
          <w:kern w:val="0"/>
          <w:sz w:val="30"/>
          <w:szCs w:val="30"/>
        </w:rPr>
      </w:pPr>
      <w:r>
        <w:rPr>
          <w:rFonts w:hint="eastAsia" w:ascii="方正小标宋简体" w:hAnsi="宋体" w:eastAsia="方正小标宋简体" w:cs="方正小标宋简体"/>
          <w:kern w:val="0"/>
          <w:sz w:val="30"/>
          <w:szCs w:val="30"/>
        </w:rPr>
        <w:t>邮政编码：</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rPr>
        <w:br w:type="textWrapping"/>
      </w:r>
      <w:r>
        <w:rPr>
          <w:rFonts w:hint="eastAsia" w:ascii="方正小标宋简体" w:hAnsi="宋体" w:eastAsia="方正小标宋简体" w:cs="方正小标宋简体"/>
          <w:kern w:val="0"/>
          <w:sz w:val="30"/>
          <w:szCs w:val="30"/>
        </w:rPr>
        <w:t>联系电话：</w:t>
      </w:r>
      <w:r>
        <w:rPr>
          <w:rFonts w:hint="eastAsia" w:ascii="楷体_GB2312" w:hAnsi="宋体" w:eastAsia="楷体_GB2312" w:cs="楷体_GB2312"/>
          <w:kern w:val="0"/>
          <w:sz w:val="30"/>
          <w:szCs w:val="30"/>
          <w:u w:val="single"/>
        </w:rPr>
        <w:t>　　　</w:t>
      </w:r>
    </w:p>
    <w:p>
      <w:pPr>
        <w:rPr>
          <w:rFonts w:ascii="仿宋_GB2312" w:eastAsia="仿宋_GB2312"/>
          <w:sz w:val="28"/>
          <w:szCs w:val="28"/>
        </w:rPr>
      </w:pPr>
    </w:p>
    <w:p>
      <w:pPr>
        <w:widowControl/>
        <w:spacing w:before="150" w:after="150"/>
        <w:ind w:firstLine="1350" w:firstLineChars="450"/>
        <w:rPr>
          <w:rFonts w:ascii="楷体_GB2312" w:eastAsia="楷体_GB2312" w:cs="楷体_GB2312"/>
          <w:kern w:val="0"/>
          <w:sz w:val="30"/>
          <w:szCs w:val="30"/>
        </w:rPr>
      </w:pPr>
      <w:r>
        <w:rPr>
          <w:rFonts w:hint="eastAsia" w:ascii="方正小标宋简体" w:hAnsi="宋体" w:eastAsia="方正小标宋简体" w:cs="方正小标宋简体"/>
          <w:kern w:val="0"/>
          <w:sz w:val="30"/>
          <w:szCs w:val="30"/>
        </w:rPr>
        <w:t>乙    方：</w:t>
      </w:r>
      <w:r>
        <w:rPr>
          <w:rFonts w:hint="eastAsia" w:ascii="方正小标宋简体" w:hAnsi="宋体" w:eastAsia="方正小标宋简体" w:cs="方正小标宋简体"/>
          <w:kern w:val="0"/>
          <w:sz w:val="30"/>
          <w:szCs w:val="30"/>
          <w:u w:val="single"/>
        </w:rPr>
        <w:t>　</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u w:val="single"/>
        </w:rPr>
        <w:br w:type="textWrapping"/>
      </w:r>
      <w:r>
        <w:rPr>
          <w:rFonts w:hint="eastAsia" w:ascii="方正小标宋简体" w:hAnsi="宋体" w:eastAsia="方正小标宋简体" w:cs="方正小标宋简体"/>
          <w:kern w:val="0"/>
          <w:sz w:val="30"/>
          <w:szCs w:val="30"/>
        </w:rPr>
        <w:t>名　　称：</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rPr>
        <w:br w:type="textWrapping"/>
      </w:r>
      <w:r>
        <w:rPr>
          <w:rFonts w:hint="eastAsia" w:ascii="方正小标宋简体" w:hAnsi="宋体" w:eastAsia="方正小标宋简体" w:cs="方正小标宋简体"/>
          <w:kern w:val="0"/>
          <w:sz w:val="30"/>
          <w:szCs w:val="30"/>
        </w:rPr>
        <w:t>法定代表人或委托代理人：</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rPr>
        <w:br w:type="textWrapping"/>
      </w:r>
      <w:r>
        <w:rPr>
          <w:rFonts w:hint="eastAsia" w:ascii="方正小标宋简体" w:hAnsi="宋体" w:eastAsia="方正小标宋简体" w:cs="方正小标宋简体"/>
          <w:kern w:val="0"/>
          <w:sz w:val="30"/>
          <w:szCs w:val="30"/>
        </w:rPr>
        <w:t>地　　址：</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rPr>
        <w:br w:type="textWrapping"/>
      </w:r>
      <w:r>
        <w:rPr>
          <w:rFonts w:hint="eastAsia" w:ascii="方正小标宋简体" w:hAnsi="宋体" w:eastAsia="方正小标宋简体" w:cs="方正小标宋简体"/>
          <w:kern w:val="0"/>
          <w:sz w:val="30"/>
          <w:szCs w:val="30"/>
        </w:rPr>
        <w:t>邮政编码：</w:t>
      </w:r>
      <w:r>
        <w:rPr>
          <w:rFonts w:hint="eastAsia" w:ascii="楷体_GB2312" w:hAnsi="宋体" w:eastAsia="楷体_GB2312" w:cs="楷体_GB2312"/>
          <w:kern w:val="0"/>
          <w:sz w:val="30"/>
          <w:szCs w:val="30"/>
          <w:u w:val="single"/>
        </w:rPr>
        <w:t>　　　　　　　　　　　　　　　　　</w:t>
      </w:r>
      <w:r>
        <w:rPr>
          <w:rFonts w:ascii="楷体_GB2312" w:eastAsia="楷体_GB2312" w:cs="楷体_GB2312"/>
          <w:kern w:val="0"/>
          <w:sz w:val="30"/>
          <w:szCs w:val="30"/>
        </w:rPr>
        <w:br w:type="textWrapping"/>
      </w:r>
      <w:r>
        <w:rPr>
          <w:rFonts w:hint="eastAsia" w:ascii="方正小标宋简体" w:hAnsi="宋体" w:eastAsia="方正小标宋简体" w:cs="方正小标宋简体"/>
          <w:kern w:val="0"/>
          <w:sz w:val="30"/>
          <w:szCs w:val="30"/>
        </w:rPr>
        <w:t>联系电话：</w:t>
      </w:r>
      <w:r>
        <w:rPr>
          <w:rFonts w:hint="eastAsia" w:ascii="楷体_GB2312" w:hAnsi="宋体" w:eastAsia="楷体_GB2312" w:cs="楷体_GB2312"/>
          <w:kern w:val="0"/>
          <w:sz w:val="30"/>
          <w:szCs w:val="30"/>
          <w:u w:val="single"/>
        </w:rPr>
        <w:t>　　　　　　　　　　　　　　　　　</w:t>
      </w:r>
    </w:p>
    <w:p>
      <w:pPr>
        <w:pStyle w:val="8"/>
        <w:spacing w:before="0" w:beforeAutospacing="0" w:after="0" w:afterAutospacing="0" w:line="640" w:lineRule="exact"/>
        <w:jc w:val="both"/>
        <w:rPr>
          <w:rFonts w:ascii="仿宋_GB2312" w:eastAsia="仿宋_GB2312"/>
          <w:color w:val="auto"/>
          <w:sz w:val="28"/>
          <w:szCs w:val="28"/>
        </w:rPr>
      </w:pPr>
    </w:p>
    <w:p>
      <w:pPr>
        <w:pStyle w:val="8"/>
        <w:spacing w:before="0" w:beforeAutospacing="0" w:after="0" w:afterAutospacing="0" w:line="640" w:lineRule="exact"/>
        <w:jc w:val="center"/>
        <w:rPr>
          <w:rFonts w:ascii="楷体_GB2312" w:eastAsia="楷体_GB2312"/>
          <w:b/>
          <w:color w:val="auto"/>
          <w:sz w:val="32"/>
          <w:szCs w:val="32"/>
        </w:rPr>
      </w:pPr>
    </w:p>
    <w:p>
      <w:pPr>
        <w:jc w:val="center"/>
        <w:rPr>
          <w:rFonts w:ascii="楷体_GB2312" w:hAnsi="宋体" w:eastAsia="楷体_GB2312" w:cs="宋体"/>
          <w:b/>
          <w:kern w:val="0"/>
          <w:sz w:val="32"/>
          <w:szCs w:val="32"/>
        </w:rPr>
      </w:pPr>
      <w:r>
        <w:rPr>
          <w:rFonts w:hint="eastAsia" w:ascii="楷体_GB2312" w:hAnsi="宋体" w:eastAsia="楷体_GB2312" w:cs="宋体"/>
          <w:b/>
          <w:kern w:val="0"/>
          <w:sz w:val="32"/>
          <w:szCs w:val="32"/>
        </w:rPr>
        <w:t>年     月</w:t>
      </w:r>
    </w:p>
    <w:p>
      <w:pPr>
        <w:pStyle w:val="23"/>
        <w:adjustRightInd/>
        <w:snapToGrid/>
        <w:spacing w:line="480" w:lineRule="exact"/>
        <w:rPr>
          <w:sz w:val="32"/>
          <w:szCs w:val="32"/>
        </w:rPr>
      </w:pPr>
      <w:r>
        <w:rPr>
          <w:rFonts w:ascii="宋体" w:eastAsia="宋体"/>
          <w:szCs w:val="28"/>
        </w:rPr>
        <w:br w:type="page"/>
      </w:r>
      <w:r>
        <w:rPr>
          <w:rFonts w:hint="eastAsia"/>
          <w:sz w:val="32"/>
          <w:szCs w:val="32"/>
        </w:rPr>
        <w:t>为保障基本医疗保险（以下简称</w:t>
      </w:r>
      <w:r>
        <w:rPr>
          <w:sz w:val="32"/>
          <w:szCs w:val="32"/>
        </w:rPr>
        <w:t>“</w:t>
      </w:r>
      <w:r>
        <w:rPr>
          <w:rFonts w:hint="eastAsia"/>
          <w:sz w:val="32"/>
          <w:szCs w:val="32"/>
        </w:rPr>
        <w:t>医保</w:t>
      </w:r>
      <w:r>
        <w:rPr>
          <w:sz w:val="32"/>
          <w:szCs w:val="32"/>
        </w:rPr>
        <w:t>”</w:t>
      </w:r>
      <w:r>
        <w:rPr>
          <w:rFonts w:hint="eastAsia"/>
          <w:sz w:val="32"/>
          <w:szCs w:val="32"/>
        </w:rPr>
        <w:t>）参保人员的合法权益，规范定点医疗机构医疗服务行为，维护医保基金安全，促进医保制度可持续发展，根据《中华人民共和国社会保险法》、</w:t>
      </w:r>
      <w:r>
        <w:rPr>
          <w:rFonts w:hint="eastAsia" w:ascii="仿宋_GB2312"/>
          <w:sz w:val="32"/>
          <w:szCs w:val="32"/>
        </w:rPr>
        <w:t>《安徽省基本医疗保险监督管理暂行办法》（安徽省人民政府令第284号）、国家医疗保障局《关于当前加强医保协议管理确保基金安全有关工作的通知》（医保办发〔2018〕21号）</w:t>
      </w:r>
      <w:r>
        <w:rPr>
          <w:rFonts w:hint="eastAsia"/>
          <w:sz w:val="32"/>
          <w:szCs w:val="32"/>
        </w:rPr>
        <w:t>等法律法规及相关政策，经甲乙双方协商一致，就基本医疗保险医疗服务有关事宜签订如下协议。</w:t>
      </w:r>
    </w:p>
    <w:p>
      <w:pPr>
        <w:pStyle w:val="23"/>
        <w:adjustRightInd/>
        <w:snapToGrid/>
        <w:spacing w:line="480" w:lineRule="exact"/>
        <w:ind w:firstLine="640"/>
        <w:rPr>
          <w:sz w:val="32"/>
          <w:szCs w:val="32"/>
        </w:rPr>
      </w:pPr>
    </w:p>
    <w:p>
      <w:pPr>
        <w:pStyle w:val="2"/>
        <w:numPr>
          <w:ilvl w:val="0"/>
          <w:numId w:val="2"/>
        </w:numPr>
        <w:adjustRightInd/>
        <w:snapToGrid/>
        <w:spacing w:beforeLines="0" w:afterLines="0" w:line="480" w:lineRule="exact"/>
        <w:ind w:right="0"/>
        <w:rPr>
          <w:szCs w:val="32"/>
        </w:rPr>
      </w:pPr>
      <w:r>
        <w:rPr>
          <w:rFonts w:hint="eastAsia"/>
          <w:szCs w:val="32"/>
        </w:rPr>
        <w:t>总则</w:t>
      </w:r>
    </w:p>
    <w:p>
      <w:pPr>
        <w:spacing w:line="480" w:lineRule="exact"/>
        <w:rPr>
          <w:sz w:val="32"/>
          <w:szCs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第一条</w:t>
      </w:r>
      <w:r>
        <w:rPr>
          <w:rFonts w:hint="eastAsia"/>
          <w:color w:val="auto"/>
          <w:sz w:val="32"/>
        </w:rPr>
        <w:t>（依法依规）</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甲乙双方应当认真贯彻国家、省及</w:t>
      </w:r>
      <w:r>
        <w:rPr>
          <w:rFonts w:hint="eastAsia"/>
          <w:bCs/>
          <w:color w:val="auto"/>
          <w:sz w:val="32"/>
        </w:rPr>
        <w:t>本市</w:t>
      </w:r>
      <w:r>
        <w:rPr>
          <w:rFonts w:hint="eastAsia"/>
          <w:color w:val="auto"/>
          <w:sz w:val="32"/>
        </w:rPr>
        <w:t>医疗保障、卫生健康、市场监管（药品监督）等部门的相关规定，保障参保人员享受基本医疗保险待遇，共同做好医保管理和服务工作。</w:t>
      </w:r>
    </w:p>
    <w:p>
      <w:pPr>
        <w:pStyle w:val="22"/>
        <w:numPr>
          <w:ilvl w:val="0"/>
          <w:numId w:val="0"/>
        </w:numPr>
        <w:tabs>
          <w:tab w:val="clear" w:pos="1838"/>
        </w:tabs>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第二条</w:t>
      </w:r>
      <w:r>
        <w:rPr>
          <w:rFonts w:hint="eastAsia"/>
          <w:color w:val="auto"/>
          <w:sz w:val="32"/>
        </w:rPr>
        <w:t>（范围对象）</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本协议适用范围为本市行政区域内基本医疗保险、大病保险和医疗救助。乙方提供医疗服务的对象包括：□城镇职工、□城乡居民</w:t>
      </w:r>
      <w:r>
        <w:rPr>
          <w:rFonts w:hint="eastAsia"/>
          <w:color w:val="auto"/>
          <w:sz w:val="32"/>
          <w:lang w:eastAsia="zh-CN"/>
        </w:rPr>
        <w:t>、</w:t>
      </w:r>
      <w:r>
        <w:rPr>
          <w:rFonts w:hint="eastAsia"/>
          <w:color w:val="auto"/>
          <w:sz w:val="32"/>
        </w:rPr>
        <w:t>□</w:t>
      </w:r>
      <w:r>
        <w:rPr>
          <w:rFonts w:hint="eastAsia"/>
          <w:color w:val="auto"/>
          <w:sz w:val="32"/>
          <w:lang w:eastAsia="zh-CN"/>
        </w:rPr>
        <w:t>离休干部、□医疗救助、</w:t>
      </w:r>
      <w:r>
        <w:rPr>
          <w:rFonts w:hint="eastAsia"/>
          <w:color w:val="auto"/>
          <w:sz w:val="32"/>
        </w:rPr>
        <w:t>□异地就医、□其他保障人员（包括）。</w:t>
      </w:r>
    </w:p>
    <w:p>
      <w:pPr>
        <w:pStyle w:val="22"/>
        <w:numPr>
          <w:ilvl w:val="0"/>
          <w:numId w:val="0"/>
        </w:numPr>
        <w:tabs>
          <w:tab w:val="clear" w:pos="1838"/>
        </w:tabs>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第三条</w:t>
      </w:r>
      <w:r>
        <w:rPr>
          <w:rFonts w:hint="eastAsia"/>
          <w:color w:val="auto"/>
          <w:sz w:val="32"/>
        </w:rPr>
        <w:t>（服务范围）</w:t>
      </w:r>
    </w:p>
    <w:p>
      <w:pPr>
        <w:pStyle w:val="22"/>
        <w:numPr>
          <w:ilvl w:val="0"/>
          <w:numId w:val="0"/>
        </w:numPr>
        <w:tabs>
          <w:tab w:val="clear" w:pos="1838"/>
        </w:tabs>
        <w:adjustRightInd/>
        <w:snapToGrid/>
        <w:spacing w:line="480" w:lineRule="exact"/>
        <w:ind w:firstLine="640" w:firstLineChars="200"/>
        <w:rPr>
          <w:rFonts w:ascii="仿宋" w:hAnsi="仿宋" w:eastAsia="仿宋" w:cs="仿宋"/>
          <w:color w:val="auto"/>
          <w:sz w:val="32"/>
          <w:lang w:val="zh-TW"/>
        </w:rPr>
      </w:pPr>
      <w:r>
        <w:rPr>
          <w:rFonts w:hint="eastAsia" w:ascii="仿宋" w:hAnsi="仿宋" w:eastAsia="仿宋" w:cs="仿宋"/>
          <w:color w:val="auto"/>
          <w:sz w:val="32"/>
        </w:rPr>
        <w:t>乙方所提供的医疗服务应当符合卫生健康行政部门许可的诊疗科目和执业范围。</w:t>
      </w:r>
      <w:r>
        <w:rPr>
          <w:rFonts w:hint="eastAsia" w:ascii="仿宋" w:hAnsi="仿宋" w:eastAsia="仿宋" w:cs="仿宋"/>
          <w:color w:val="auto"/>
          <w:sz w:val="32"/>
          <w:lang w:val="zh-TW" w:eastAsia="zh-TW"/>
        </w:rPr>
        <w:t>乙方为</w:t>
      </w:r>
      <w:r>
        <w:rPr>
          <w:rFonts w:hint="eastAsia" w:ascii="仿宋" w:hAnsi="仿宋" w:eastAsia="仿宋" w:cs="仿宋"/>
          <w:color w:val="auto"/>
          <w:sz w:val="32"/>
          <w:lang w:val="zh-TW"/>
        </w:rPr>
        <w:t>参保人员</w:t>
      </w:r>
      <w:r>
        <w:rPr>
          <w:rFonts w:hint="eastAsia" w:ascii="仿宋" w:hAnsi="仿宋" w:eastAsia="仿宋" w:cs="仿宋"/>
          <w:color w:val="auto"/>
          <w:sz w:val="32"/>
          <w:lang w:val="zh-TW" w:eastAsia="zh-TW"/>
        </w:rPr>
        <w:t>提供医疗服务的范围,包括：□</w:t>
      </w:r>
      <w:r>
        <w:rPr>
          <w:rFonts w:hint="eastAsia" w:ascii="仿宋" w:hAnsi="仿宋" w:eastAsia="仿宋" w:cs="仿宋"/>
          <w:bCs/>
          <w:color w:val="auto"/>
          <w:sz w:val="32"/>
          <w:lang w:val="zh-TW" w:eastAsia="zh-TW"/>
        </w:rPr>
        <w:t>普通门诊</w:t>
      </w:r>
      <w:r>
        <w:rPr>
          <w:rFonts w:hint="eastAsia" w:ascii="仿宋" w:hAnsi="仿宋" w:eastAsia="仿宋" w:cs="仿宋"/>
          <w:color w:val="auto"/>
          <w:sz w:val="32"/>
          <w:lang w:val="zh-TW" w:eastAsia="zh-TW"/>
        </w:rPr>
        <w:t>、□住院、□门诊慢性病、□门诊特殊病、□</w:t>
      </w:r>
      <w:r>
        <w:rPr>
          <w:rFonts w:hint="eastAsia" w:ascii="仿宋" w:hAnsi="仿宋" w:eastAsia="仿宋" w:cs="仿宋"/>
          <w:bCs/>
          <w:color w:val="auto"/>
          <w:sz w:val="32"/>
          <w:lang w:val="zh-TW" w:eastAsia="zh-TW"/>
        </w:rPr>
        <w:t>门诊</w:t>
      </w:r>
      <w:r>
        <w:rPr>
          <w:rFonts w:hint="eastAsia" w:ascii="仿宋" w:hAnsi="仿宋" w:eastAsia="仿宋" w:cs="仿宋"/>
          <w:bCs/>
          <w:color w:val="auto"/>
          <w:sz w:val="32"/>
          <w:lang w:val="zh-TW"/>
        </w:rPr>
        <w:t>大病</w:t>
      </w: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第四条</w:t>
      </w:r>
      <w:r>
        <w:rPr>
          <w:rFonts w:hint="eastAsia"/>
          <w:color w:val="auto"/>
          <w:sz w:val="32"/>
        </w:rPr>
        <w:t>（双方权利）</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甲乙双方应当依照国家、省和本市有关政策法规，正确行使职权。双方有权监督对方执行相关政策法规和履行职责的情况，向对方提出合理化建议，举报或投诉对方工作人员的违法违规行为。</w:t>
      </w:r>
    </w:p>
    <w:p>
      <w:pPr>
        <w:pStyle w:val="22"/>
        <w:numPr>
          <w:ilvl w:val="0"/>
          <w:numId w:val="0"/>
        </w:numPr>
        <w:adjustRightInd/>
        <w:snapToGrid/>
        <w:spacing w:line="480" w:lineRule="exact"/>
        <w:ind w:firstLine="640" w:firstLineChars="200"/>
        <w:rPr>
          <w:color w:val="auto"/>
          <w:sz w:val="32"/>
        </w:rPr>
      </w:pPr>
      <w:r>
        <w:rPr>
          <w:rFonts w:hint="eastAsia"/>
          <w:color w:val="auto"/>
          <w:sz w:val="32"/>
        </w:rPr>
        <w:t>甲乙双方应当明确参保人员的投诉渠道并公布，对参保人员维护合法权益、医疗服务质量等方面的投诉应当及时核实情况予以处理。</w:t>
      </w:r>
    </w:p>
    <w:p>
      <w:pPr>
        <w:pStyle w:val="22"/>
        <w:numPr>
          <w:ilvl w:val="0"/>
          <w:numId w:val="0"/>
        </w:numPr>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color w:val="auto"/>
          <w:sz w:val="32"/>
        </w:rPr>
      </w:pPr>
      <w:r>
        <w:rPr>
          <w:rFonts w:hint="eastAsia"/>
          <w:b/>
          <w:color w:val="auto"/>
          <w:sz w:val="32"/>
        </w:rPr>
        <w:t>第五条</w:t>
      </w:r>
      <w:r>
        <w:rPr>
          <w:rFonts w:hint="eastAsia"/>
          <w:color w:val="auto"/>
          <w:sz w:val="32"/>
        </w:rPr>
        <w:t>（甲方义务）</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甲方应及时向乙方通报医保法规政策和管理制度、操作流程的变化情况，组织乙方开展与医保管理有关的培训，接受乙方咨询，按协议约定向乙方拨付应当由医保基金支付的医疗费用。</w:t>
      </w:r>
    </w:p>
    <w:p>
      <w:pPr>
        <w:pStyle w:val="22"/>
        <w:numPr>
          <w:ilvl w:val="0"/>
          <w:numId w:val="0"/>
        </w:numPr>
        <w:tabs>
          <w:tab w:val="clear" w:pos="1838"/>
        </w:tabs>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第六条</w:t>
      </w:r>
      <w:r>
        <w:rPr>
          <w:rFonts w:hint="eastAsia"/>
          <w:color w:val="auto"/>
          <w:sz w:val="32"/>
        </w:rPr>
        <w:t>（乙方义务）</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乙方应当建立健全医保管理服务部门，明确院级领导分管医保工作，配备专（兼）职管理人员，严格履职尽责，做好医保管理工作，为参保人员提供合理必要的医保服务。</w:t>
      </w:r>
    </w:p>
    <w:p>
      <w:pPr>
        <w:pStyle w:val="22"/>
        <w:numPr>
          <w:ilvl w:val="0"/>
          <w:numId w:val="0"/>
        </w:numPr>
        <w:tabs>
          <w:tab w:val="clear" w:pos="1838"/>
        </w:tabs>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第七条</w:t>
      </w:r>
      <w:r>
        <w:rPr>
          <w:rFonts w:hint="eastAsia"/>
          <w:color w:val="auto"/>
          <w:sz w:val="32"/>
        </w:rPr>
        <w:t>（医保宣传）</w:t>
      </w:r>
    </w:p>
    <w:p>
      <w:pPr>
        <w:pStyle w:val="22"/>
        <w:numPr>
          <w:ilvl w:val="0"/>
          <w:numId w:val="0"/>
        </w:numPr>
        <w:adjustRightInd/>
        <w:snapToGrid/>
        <w:spacing w:line="480" w:lineRule="exact"/>
        <w:ind w:firstLine="640" w:firstLineChars="200"/>
        <w:rPr>
          <w:color w:val="auto"/>
          <w:sz w:val="32"/>
        </w:rPr>
      </w:pPr>
      <w:r>
        <w:rPr>
          <w:rFonts w:hint="eastAsia"/>
          <w:color w:val="auto"/>
          <w:sz w:val="32"/>
        </w:rPr>
        <w:t>甲乙双方均应采取多种方式向社会开展医疗保险宣传，应当公布监督举报电话（</w:t>
      </w:r>
      <w:r>
        <w:rPr>
          <w:rFonts w:hint="eastAsia"/>
          <w:bCs/>
          <w:color w:val="auto"/>
          <w:sz w:val="32"/>
        </w:rPr>
        <w:t>宿州市医保局基金监管科0557-3912110</w:t>
      </w:r>
      <w:r>
        <w:rPr>
          <w:rFonts w:hint="default"/>
          <w:bCs/>
          <w:color w:val="auto"/>
          <w:sz w:val="32"/>
          <w:lang w:val="en-US"/>
        </w:rPr>
        <w:t>,**</w:t>
      </w:r>
      <w:r>
        <w:rPr>
          <w:rFonts w:hint="eastAsia"/>
          <w:bCs/>
          <w:color w:val="auto"/>
          <w:sz w:val="32"/>
          <w:lang w:val="en-US" w:eastAsia="zh-CN"/>
        </w:rPr>
        <w:t>县/区监督举报电话0557*******</w:t>
      </w:r>
      <w:r>
        <w:rPr>
          <w:rFonts w:hint="eastAsia"/>
          <w:color w:val="auto"/>
          <w:sz w:val="32"/>
        </w:rPr>
        <w:t>），并向参保人员宣传医疗保险政策、就医结算流程及医疗服务内容等。乙方应当在本机构的显要位置悬挂定点医疗机构标牌，应向参保人员提供医疗费用查询服务和费用清单，并承担解释责任。</w:t>
      </w:r>
    </w:p>
    <w:p>
      <w:pPr>
        <w:pStyle w:val="22"/>
        <w:numPr>
          <w:ilvl w:val="0"/>
          <w:numId w:val="0"/>
        </w:numPr>
        <w:tabs>
          <w:tab w:val="clear" w:pos="1838"/>
        </w:tabs>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第八条</w:t>
      </w:r>
      <w:r>
        <w:rPr>
          <w:rFonts w:hint="eastAsia"/>
          <w:color w:val="auto"/>
          <w:sz w:val="32"/>
        </w:rPr>
        <w:t>（医保医师）</w:t>
      </w:r>
    </w:p>
    <w:p>
      <w:pPr>
        <w:pStyle w:val="22"/>
        <w:numPr>
          <w:ilvl w:val="0"/>
          <w:numId w:val="0"/>
        </w:numPr>
        <w:tabs>
          <w:tab w:val="clear" w:pos="1838"/>
        </w:tabs>
        <w:adjustRightInd/>
        <w:snapToGrid/>
        <w:spacing w:line="480" w:lineRule="exact"/>
        <w:ind w:firstLine="640" w:firstLineChars="200"/>
        <w:rPr>
          <w:rStyle w:val="32"/>
          <w:rFonts w:ascii="仿宋" w:hAnsi="仿宋" w:eastAsia="仿宋"/>
          <w:iCs/>
          <w:color w:val="auto"/>
          <w:spacing w:val="0"/>
          <w:sz w:val="32"/>
          <w:szCs w:val="32"/>
        </w:rPr>
      </w:pPr>
      <w:r>
        <w:rPr>
          <w:rFonts w:hint="eastAsia"/>
          <w:color w:val="auto"/>
          <w:sz w:val="32"/>
        </w:rPr>
        <w:t>甲方建立医保医师管理制度，及时维护本统筹地区为参保人员提供基本医疗保险服务的医师信息库并实行动态管理。乙方应及时向甲方提供医师资质、执业信息及变动情况，并对医务人员开展医疗保险政策培训。</w:t>
      </w:r>
    </w:p>
    <w:p>
      <w:pPr>
        <w:pStyle w:val="22"/>
        <w:numPr>
          <w:ilvl w:val="0"/>
          <w:numId w:val="0"/>
        </w:numPr>
        <w:tabs>
          <w:tab w:val="clear" w:pos="1838"/>
        </w:tabs>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第九条</w:t>
      </w:r>
      <w:r>
        <w:rPr>
          <w:rFonts w:hint="eastAsia"/>
          <w:color w:val="auto"/>
          <w:sz w:val="32"/>
        </w:rPr>
        <w:t>（审核监督）</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甲方通过医疗保险信息监控系统等方式对乙方的医疗服务行为及医疗费用进行实时监控，定期或不定期开展监督检查，并将监控和监督检查情况及时反馈给乙方。</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对甲方在监督检查中查阅参保人员病历及有关资料、询问当事人等予以配合。对乙方提供的资料，甲方应当予以保密。乙方应确保向甲方提供的资料和传输的医疗费用数据真实、及时、准确、完整。因提供不实资料、传输虚假数据产生的经济和法律责任由乙方承担。</w:t>
      </w:r>
    </w:p>
    <w:p>
      <w:pPr>
        <w:snapToGrid w:val="0"/>
        <w:spacing w:line="480" w:lineRule="exact"/>
        <w:ind w:firstLine="640" w:firstLineChars="200"/>
        <w:rPr>
          <w:rFonts w:ascii="仿宋" w:hAnsi="仿宋" w:eastAsia="仿宋" w:cs="仿宋_GB2312"/>
          <w:bCs/>
          <w:sz w:val="32"/>
          <w:szCs w:val="32"/>
        </w:rPr>
      </w:pPr>
      <w:r>
        <w:rPr>
          <w:rFonts w:hint="eastAsia" w:ascii="仿宋" w:hAnsi="仿宋" w:eastAsia="仿宋" w:cs="仿宋_GB2312"/>
          <w:bCs/>
          <w:sz w:val="32"/>
          <w:szCs w:val="32"/>
        </w:rPr>
        <w:t>在引入控制不合理医疗费用第三方审核机制后，医疗保险协议管理的医疗机构，提供的医疗服务原始病历资料和费用清单由第三方逐份审核，并接受甲方的监督，保证审核的准确性、公平性和科学性。</w:t>
      </w:r>
    </w:p>
    <w:p>
      <w:pPr>
        <w:pStyle w:val="22"/>
        <w:numPr>
          <w:ilvl w:val="0"/>
          <w:numId w:val="0"/>
        </w:numPr>
        <w:adjustRightInd/>
        <w:snapToGrid/>
        <w:spacing w:line="480" w:lineRule="exact"/>
        <w:ind w:firstLine="640" w:firstLineChars="200"/>
        <w:rPr>
          <w:color w:val="auto"/>
          <w:sz w:val="32"/>
        </w:rPr>
      </w:pPr>
    </w:p>
    <w:p>
      <w:pPr>
        <w:pStyle w:val="22"/>
        <w:numPr>
          <w:ilvl w:val="0"/>
          <w:numId w:val="0"/>
        </w:numPr>
        <w:tabs>
          <w:tab w:val="clear" w:pos="1838"/>
        </w:tabs>
        <w:adjustRightInd/>
        <w:snapToGrid/>
        <w:spacing w:line="480" w:lineRule="exact"/>
        <w:ind w:firstLine="643" w:firstLineChars="200"/>
        <w:rPr>
          <w:b/>
          <w:color w:val="auto"/>
          <w:sz w:val="32"/>
        </w:rPr>
      </w:pPr>
      <w:r>
        <w:rPr>
          <w:rFonts w:hint="eastAsia"/>
          <w:b/>
          <w:color w:val="auto"/>
          <w:sz w:val="32"/>
        </w:rPr>
        <w:t>第十条</w:t>
      </w:r>
      <w:r>
        <w:rPr>
          <w:rFonts w:hint="eastAsia"/>
          <w:color w:val="auto"/>
          <w:sz w:val="32"/>
        </w:rPr>
        <w:t>（处理措施）</w:t>
      </w:r>
    </w:p>
    <w:p>
      <w:pPr>
        <w:pStyle w:val="22"/>
        <w:numPr>
          <w:ilvl w:val="0"/>
          <w:numId w:val="0"/>
        </w:numPr>
        <w:tabs>
          <w:tab w:val="clear" w:pos="1838"/>
        </w:tabs>
        <w:adjustRightInd/>
        <w:snapToGrid/>
        <w:spacing w:line="480" w:lineRule="exact"/>
        <w:ind w:firstLine="640" w:firstLineChars="200"/>
        <w:rPr>
          <w:color w:val="auto"/>
          <w:sz w:val="32"/>
        </w:rPr>
      </w:pPr>
      <w:r>
        <w:rPr>
          <w:rFonts w:hint="eastAsia"/>
          <w:color w:val="auto"/>
          <w:sz w:val="32"/>
        </w:rPr>
        <w:t>甲方可基于监督检查结果，对乙方的违约行为按照第七章违约条款进行处理。</w:t>
      </w:r>
    </w:p>
    <w:p>
      <w:pPr>
        <w:pStyle w:val="22"/>
        <w:numPr>
          <w:ilvl w:val="0"/>
          <w:numId w:val="0"/>
        </w:numPr>
        <w:tabs>
          <w:tab w:val="clear" w:pos="1838"/>
        </w:tabs>
        <w:adjustRightInd/>
        <w:snapToGrid/>
        <w:spacing w:line="480" w:lineRule="exact"/>
        <w:ind w:firstLine="640" w:firstLineChars="200"/>
        <w:rPr>
          <w:color w:val="auto"/>
          <w:sz w:val="32"/>
        </w:rPr>
      </w:pPr>
    </w:p>
    <w:p>
      <w:pPr>
        <w:pStyle w:val="2"/>
        <w:numPr>
          <w:ilvl w:val="0"/>
          <w:numId w:val="2"/>
        </w:numPr>
        <w:adjustRightInd/>
        <w:snapToGrid/>
        <w:spacing w:beforeLines="0" w:afterLines="0" w:line="480" w:lineRule="exact"/>
        <w:ind w:right="0"/>
        <w:rPr>
          <w:szCs w:val="32"/>
        </w:rPr>
      </w:pPr>
      <w:r>
        <w:rPr>
          <w:rFonts w:hint="eastAsia"/>
          <w:szCs w:val="32"/>
        </w:rPr>
        <w:t>诊疗服务</w:t>
      </w:r>
    </w:p>
    <w:p>
      <w:pPr>
        <w:spacing w:line="480" w:lineRule="exact"/>
        <w:rPr>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第十一条</w:t>
      </w:r>
      <w:r>
        <w:rPr>
          <w:rFonts w:hint="eastAsia"/>
          <w:color w:val="auto"/>
          <w:sz w:val="32"/>
        </w:rPr>
        <w:t>（诊疗原则）</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乙方应严格遵循医保和卫生健康行政部门有关规定，按照医疗服务质量管理与控制指标的要求，为参保人员提供合理检查、合理治疗、合理用药服务。</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第十二条</w:t>
      </w:r>
      <w:r>
        <w:rPr>
          <w:rFonts w:hint="eastAsia"/>
          <w:color w:val="auto"/>
          <w:sz w:val="32"/>
        </w:rPr>
        <w:t>（身份核验）</w:t>
      </w:r>
    </w:p>
    <w:p>
      <w:pPr>
        <w:pStyle w:val="22"/>
        <w:numPr>
          <w:ilvl w:val="0"/>
          <w:numId w:val="0"/>
        </w:numPr>
        <w:adjustRightInd/>
        <w:snapToGrid/>
        <w:spacing w:line="480" w:lineRule="exact"/>
        <w:ind w:firstLine="640" w:firstLineChars="200"/>
        <w:rPr>
          <w:rFonts w:ascii="Times New Roman"/>
          <w:color w:val="auto"/>
          <w:kern w:val="0"/>
          <w:sz w:val="32"/>
        </w:rPr>
      </w:pPr>
      <w:r>
        <w:rPr>
          <w:rFonts w:hint="eastAsia"/>
          <w:color w:val="auto"/>
          <w:sz w:val="32"/>
        </w:rPr>
        <w:t>参保人员就医时（包括挂号、诊治、记账收费、出入院和转诊转院等），乙方应当对其身份进行核验，发现证件无效、人证不符的，不得进行医疗保险费用结算。如非甲方授权，乙方不得以任何理由收集、滞留参保人员社会保障卡（或</w:t>
      </w:r>
      <w:r>
        <w:rPr>
          <w:rFonts w:hint="eastAsia"/>
          <w:bCs/>
          <w:color w:val="auto"/>
          <w:sz w:val="32"/>
        </w:rPr>
        <w:t>身份证</w:t>
      </w:r>
      <w:r>
        <w:rPr>
          <w:rFonts w:hint="eastAsia"/>
          <w:color w:val="auto"/>
          <w:sz w:val="32"/>
        </w:rPr>
        <w:t>）。发现有骗保嫌疑情形的，应当及时报告甲方。</w:t>
      </w:r>
    </w:p>
    <w:p>
      <w:pPr>
        <w:pStyle w:val="23"/>
        <w:adjustRightInd/>
        <w:snapToGrid/>
        <w:spacing w:line="480" w:lineRule="exact"/>
        <w:ind w:firstLine="640"/>
        <w:rPr>
          <w:sz w:val="32"/>
          <w:szCs w:val="32"/>
        </w:rPr>
      </w:pPr>
    </w:p>
    <w:p>
      <w:pPr>
        <w:pStyle w:val="22"/>
        <w:numPr>
          <w:ilvl w:val="0"/>
          <w:numId w:val="0"/>
        </w:numPr>
        <w:adjustRightInd/>
        <w:snapToGrid/>
        <w:spacing w:line="480" w:lineRule="exact"/>
        <w:ind w:firstLine="643" w:firstLineChars="200"/>
        <w:rPr>
          <w:color w:val="auto"/>
          <w:sz w:val="32"/>
        </w:rPr>
      </w:pPr>
      <w:r>
        <w:rPr>
          <w:rFonts w:hint="eastAsia"/>
          <w:b/>
          <w:bCs/>
          <w:color w:val="auto"/>
          <w:sz w:val="32"/>
        </w:rPr>
        <w:t>第十三条</w:t>
      </w:r>
      <w:r>
        <w:rPr>
          <w:rFonts w:hint="eastAsia"/>
          <w:color w:val="auto"/>
          <w:sz w:val="32"/>
        </w:rPr>
        <w:t>（意外伤害）</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乙方收治意外伤害参保人员住院时，首诊医生应</w:t>
      </w:r>
      <w:r>
        <w:rPr>
          <w:rFonts w:hint="eastAsia"/>
          <w:color w:val="auto"/>
          <w:sz w:val="32"/>
          <w:lang w:eastAsia="zh-CN"/>
        </w:rPr>
        <w:t>告知外伤人员住院结算及报销流程并</w:t>
      </w:r>
      <w:r>
        <w:rPr>
          <w:rFonts w:hint="eastAsia"/>
          <w:color w:val="auto"/>
          <w:sz w:val="32"/>
        </w:rPr>
        <w:t>如实书写医疗文书并注明意外伤害原因</w:t>
      </w:r>
      <w:r>
        <w:rPr>
          <w:rFonts w:hint="eastAsia"/>
          <w:color w:val="auto"/>
          <w:sz w:val="32"/>
          <w:lang w:eastAsia="zh-CN"/>
        </w:rPr>
        <w:t>，</w:t>
      </w:r>
      <w:r>
        <w:rPr>
          <w:rFonts w:hint="eastAsia"/>
          <w:color w:val="auto"/>
          <w:sz w:val="32"/>
        </w:rPr>
        <w:t>对于明确不属于医保支付范围的，乙方应告知参保人员，停止医保结算。对于需进一步确认的，乙方先按自费病人处理，待院医保办工作人员核实后方可纳入医保支付，</w:t>
      </w:r>
      <w:r>
        <w:rPr>
          <w:rFonts w:hint="eastAsia"/>
          <w:bCs/>
          <w:color w:val="auto"/>
          <w:sz w:val="32"/>
        </w:rPr>
        <w:t>乙方应详细询问并记录外伤病人受伤的时间、地点、原因，必要时由外伤病人本人书写情况说明并签字，并将所有资料登记备案，以备甲方核查，对于未经核实和不符合支付范围的外伤病人，乙方支付的医疗费用甲方可予以拒付。</w:t>
      </w:r>
    </w:p>
    <w:p>
      <w:pPr>
        <w:pStyle w:val="22"/>
        <w:numPr>
          <w:ilvl w:val="0"/>
          <w:numId w:val="0"/>
        </w:numPr>
        <w:adjustRightInd/>
        <w:snapToGrid/>
        <w:spacing w:line="480" w:lineRule="exact"/>
        <w:ind w:firstLine="640" w:firstLineChars="200"/>
        <w:rPr>
          <w:color w:val="auto"/>
          <w:sz w:val="32"/>
        </w:rPr>
      </w:pPr>
    </w:p>
    <w:p>
      <w:pPr>
        <w:pStyle w:val="22"/>
        <w:numPr>
          <w:ilvl w:val="0"/>
          <w:numId w:val="0"/>
        </w:numPr>
        <w:tabs>
          <w:tab w:val="left" w:pos="1701"/>
        </w:tabs>
        <w:adjustRightInd/>
        <w:snapToGrid/>
        <w:spacing w:line="480" w:lineRule="exact"/>
        <w:ind w:firstLine="643" w:firstLineChars="200"/>
        <w:rPr>
          <w:b/>
          <w:color w:val="auto"/>
          <w:sz w:val="32"/>
        </w:rPr>
      </w:pPr>
      <w:r>
        <w:rPr>
          <w:rFonts w:hint="eastAsia"/>
          <w:b/>
          <w:color w:val="auto"/>
          <w:sz w:val="32"/>
        </w:rPr>
        <w:t>第十四条</w:t>
      </w:r>
      <w:r>
        <w:rPr>
          <w:rFonts w:hint="eastAsia"/>
          <w:color w:val="auto"/>
          <w:sz w:val="32"/>
        </w:rPr>
        <w:t>（出入院管理）</w:t>
      </w:r>
    </w:p>
    <w:p>
      <w:pPr>
        <w:pStyle w:val="22"/>
        <w:numPr>
          <w:ilvl w:val="0"/>
          <w:numId w:val="0"/>
        </w:numPr>
        <w:tabs>
          <w:tab w:val="left" w:pos="1701"/>
        </w:tabs>
        <w:adjustRightInd/>
        <w:snapToGrid/>
        <w:spacing w:line="480" w:lineRule="exact"/>
        <w:ind w:firstLine="640" w:firstLineChars="200"/>
        <w:rPr>
          <w:color w:val="auto"/>
          <w:sz w:val="32"/>
        </w:rPr>
      </w:pPr>
      <w:r>
        <w:rPr>
          <w:rFonts w:hint="eastAsia"/>
          <w:color w:val="auto"/>
          <w:sz w:val="32"/>
        </w:rPr>
        <w:t>乙方应当严格执行出、入院和重症监护病房收治标准，不得推诿和拒绝符合住院指征的参保人员住院治疗；不得将不符合入院标准的参保人员收治住院；不得要求未达到出院标准的参保人员提前出院或自费住院。为符合出院条件的参保人员及时办理出院手续，参保人员拒绝出院的，应当自通知其出院之日起，停止医疗保险费用结算。</w:t>
      </w:r>
    </w:p>
    <w:p>
      <w:pPr>
        <w:pStyle w:val="22"/>
        <w:numPr>
          <w:ilvl w:val="0"/>
          <w:numId w:val="0"/>
        </w:numPr>
        <w:tabs>
          <w:tab w:val="left" w:pos="1701"/>
        </w:tabs>
        <w:adjustRightInd/>
        <w:snapToGrid/>
        <w:spacing w:line="480" w:lineRule="exact"/>
        <w:ind w:firstLine="640" w:firstLineChars="200"/>
        <w:rPr>
          <w:color w:val="auto"/>
          <w:sz w:val="32"/>
        </w:rPr>
      </w:pPr>
    </w:p>
    <w:p>
      <w:pPr>
        <w:pStyle w:val="22"/>
        <w:numPr>
          <w:ilvl w:val="0"/>
          <w:numId w:val="0"/>
        </w:numPr>
        <w:tabs>
          <w:tab w:val="left" w:pos="1701"/>
        </w:tabs>
        <w:adjustRightInd/>
        <w:snapToGrid/>
        <w:spacing w:line="480" w:lineRule="exact"/>
        <w:ind w:firstLine="643" w:firstLineChars="200"/>
        <w:rPr>
          <w:b/>
          <w:color w:val="auto"/>
          <w:sz w:val="32"/>
        </w:rPr>
      </w:pPr>
      <w:r>
        <w:rPr>
          <w:rFonts w:hint="eastAsia"/>
          <w:b/>
          <w:color w:val="auto"/>
          <w:sz w:val="32"/>
        </w:rPr>
        <w:t>第十五条</w:t>
      </w:r>
      <w:r>
        <w:rPr>
          <w:rFonts w:hint="eastAsia"/>
          <w:color w:val="auto"/>
          <w:sz w:val="32"/>
        </w:rPr>
        <w:t>（就诊记录）</w:t>
      </w:r>
    </w:p>
    <w:p>
      <w:pPr>
        <w:pStyle w:val="22"/>
        <w:numPr>
          <w:ilvl w:val="0"/>
          <w:numId w:val="0"/>
        </w:numPr>
        <w:tabs>
          <w:tab w:val="left" w:pos="1701"/>
        </w:tabs>
        <w:adjustRightInd/>
        <w:snapToGrid/>
        <w:spacing w:line="480" w:lineRule="exact"/>
        <w:ind w:firstLine="640" w:firstLineChars="200"/>
        <w:rPr>
          <w:color w:val="auto"/>
          <w:sz w:val="32"/>
        </w:rPr>
      </w:pPr>
      <w:r>
        <w:rPr>
          <w:rFonts w:hint="eastAsia"/>
          <w:color w:val="auto"/>
          <w:sz w:val="32"/>
        </w:rPr>
        <w:t>乙方应当为参保人员就医建立病历，并妥善保存备查。门诊与住院病历的诊疗记录应当真实、准确、完整、清晰，化验检查须有结果分析。</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乙方应当做到住院医嘱、病程记录、检查结果、治疗护理单记录和票据、费用清单等相吻合。</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第十六条</w:t>
      </w:r>
      <w:r>
        <w:rPr>
          <w:rFonts w:hint="eastAsia"/>
          <w:color w:val="auto"/>
          <w:sz w:val="32"/>
        </w:rPr>
        <w:t>（知情同意权）</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保证参保人员知情同意权。参保人员住院期间需使用非医保范围内的药品、医疗服务项目、医用材料、特需服务等费用，须由参保人员个人全部负担的，乙方应事先征得参保人或其家属同意，并签字确认（无民事行为能力人、限制民事行为能力人等患者应当由其监护人签字确认），</w:t>
      </w:r>
      <w:r>
        <w:rPr>
          <w:rFonts w:hint="eastAsia"/>
          <w:bCs/>
          <w:color w:val="auto"/>
          <w:sz w:val="32"/>
        </w:rPr>
        <w:t>急诊、抢救等特殊情形除外</w:t>
      </w:r>
      <w:r>
        <w:rPr>
          <w:rFonts w:hint="eastAsia"/>
          <w:color w:val="auto"/>
          <w:sz w:val="32"/>
        </w:rPr>
        <w:t>。</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第十七条</w:t>
      </w:r>
      <w:r>
        <w:rPr>
          <w:rFonts w:hint="eastAsia"/>
          <w:color w:val="auto"/>
          <w:sz w:val="32"/>
        </w:rPr>
        <w:t>（外检外购）</w:t>
      </w:r>
    </w:p>
    <w:p>
      <w:pPr>
        <w:snapToGrid w:val="0"/>
        <w:spacing w:line="480" w:lineRule="exact"/>
        <w:ind w:firstLine="563" w:firstLineChars="176"/>
        <w:rPr>
          <w:rFonts w:ascii="仿宋" w:hAnsi="仿宋" w:eastAsia="仿宋" w:cs="仿宋"/>
          <w:sz w:val="32"/>
          <w:szCs w:val="32"/>
        </w:rPr>
      </w:pPr>
      <w:r>
        <w:rPr>
          <w:rFonts w:hint="eastAsia" w:ascii="仿宋" w:hAnsi="仿宋" w:eastAsia="仿宋" w:cs="仿宋"/>
          <w:sz w:val="32"/>
          <w:szCs w:val="32"/>
        </w:rPr>
        <w:t>乙方应当充分利用参保人员在其他医疗机构所做的辅助检查结果，避免不必要的重复检查，增加参保人员负担。乙方应当执行门诊处方外配制度，当乙方无法满足参保人员合理用药需求或参保人员要求到定点零售药店购药的，乙方不得拒绝。外配处方应当书写规范、字迹工整、并加盖乙方专用章。</w:t>
      </w:r>
      <w:r>
        <w:rPr>
          <w:rFonts w:hint="eastAsia" w:ascii="仿宋" w:hAnsi="仿宋" w:eastAsia="仿宋" w:cs="仿宋"/>
          <w:bCs/>
          <w:sz w:val="32"/>
          <w:szCs w:val="32"/>
        </w:rPr>
        <w:t>参保人员在住院期间，因治疗需要且本院不能提供需院外购药、检查、化验等费用，应由院医保办按规定办理相关手续后，对符合医保支付范围的医疗费用，由乙方给予记账处理。</w:t>
      </w:r>
    </w:p>
    <w:p>
      <w:pPr>
        <w:pStyle w:val="22"/>
        <w:numPr>
          <w:ilvl w:val="0"/>
          <w:numId w:val="0"/>
        </w:numPr>
        <w:adjustRightInd/>
        <w:snapToGrid/>
        <w:spacing w:line="480" w:lineRule="exact"/>
        <w:rPr>
          <w:rFonts w:ascii="仿宋" w:hAnsi="仿宋" w:eastAsia="仿宋" w:cs="仿宋"/>
          <w:color w:val="auto"/>
          <w:sz w:val="32"/>
        </w:rPr>
      </w:pPr>
    </w:p>
    <w:p>
      <w:pPr>
        <w:pStyle w:val="22"/>
        <w:numPr>
          <w:ilvl w:val="0"/>
          <w:numId w:val="0"/>
        </w:numPr>
        <w:adjustRightInd/>
        <w:snapToGrid/>
        <w:spacing w:line="480" w:lineRule="exact"/>
        <w:ind w:firstLine="643" w:firstLineChars="200"/>
        <w:rPr>
          <w:color w:val="auto"/>
          <w:sz w:val="32"/>
        </w:rPr>
      </w:pPr>
      <w:r>
        <w:rPr>
          <w:rFonts w:hint="eastAsia"/>
          <w:b/>
          <w:color w:val="auto"/>
          <w:sz w:val="32"/>
        </w:rPr>
        <w:t>第十八条</w:t>
      </w:r>
      <w:r>
        <w:rPr>
          <w:rFonts w:hint="eastAsia"/>
          <w:color w:val="auto"/>
          <w:sz w:val="32"/>
        </w:rPr>
        <w:t>（转诊转院）</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乙方应当建立健全双向转诊转院和转科制度，严格掌握</w:t>
      </w:r>
      <w:r>
        <w:rPr>
          <w:rFonts w:hint="eastAsia"/>
          <w:bCs/>
          <w:color w:val="auto"/>
          <w:sz w:val="32"/>
        </w:rPr>
        <w:t>市</w:t>
      </w:r>
      <w:r>
        <w:rPr>
          <w:rFonts w:hint="eastAsia"/>
          <w:color w:val="auto"/>
          <w:sz w:val="32"/>
        </w:rPr>
        <w:t>外转诊转院标准</w:t>
      </w:r>
      <w:r>
        <w:rPr>
          <w:rFonts w:hint="eastAsia"/>
          <w:bCs/>
          <w:color w:val="auto"/>
          <w:sz w:val="32"/>
        </w:rPr>
        <w:t>。</w:t>
      </w:r>
      <w:r>
        <w:rPr>
          <w:rFonts w:hint="eastAsia"/>
          <w:color w:val="auto"/>
          <w:sz w:val="32"/>
        </w:rPr>
        <w:t>乙方确因医疗技术和设备条件限制，或参保人员要求转市外治疗的，乙方应按甲方相关规定办理。参保人员在住院期间需院内转科治疗的，乙方不得中途办理出院结算手续。</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color w:val="auto"/>
          <w:sz w:val="32"/>
        </w:rPr>
      </w:pPr>
      <w:r>
        <w:rPr>
          <w:rFonts w:hint="eastAsia"/>
          <w:b/>
          <w:bCs/>
          <w:color w:val="auto"/>
          <w:sz w:val="32"/>
        </w:rPr>
        <w:t>第十九条</w:t>
      </w:r>
      <w:r>
        <w:rPr>
          <w:rFonts w:hint="eastAsia"/>
          <w:color w:val="auto"/>
          <w:sz w:val="32"/>
        </w:rPr>
        <w:t>（门诊特殊病）</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乙方承担门诊特殊疾病认定职责的，应当严格按照本统筹区的门诊特殊疾病认定标准进行认定，不得出具虚假的门诊特殊疾病认定证明。</w:t>
      </w:r>
    </w:p>
    <w:p>
      <w:pPr>
        <w:pStyle w:val="31"/>
        <w:snapToGrid w:val="0"/>
        <w:spacing w:before="0" w:after="0" w:line="480" w:lineRule="exact"/>
        <w:ind w:firstLine="720" w:firstLineChars="200"/>
        <w:jc w:val="both"/>
        <w:rPr>
          <w:rFonts w:ascii="仿宋" w:hAnsi="仿宋" w:eastAsia="仿宋_GB2312" w:cs="仿宋_GB2312"/>
          <w:b/>
          <w:bCs/>
          <w:spacing w:val="0"/>
          <w:sz w:val="32"/>
          <w:szCs w:val="32"/>
        </w:rPr>
      </w:pPr>
      <w:r>
        <w:rPr>
          <w:rFonts w:hint="eastAsia" w:ascii="仿宋_GB2312" w:hAnsi="仿宋" w:eastAsia="仿宋_GB2312" w:cs="仿宋_GB2312"/>
          <w:sz w:val="32"/>
          <w:szCs w:val="32"/>
        </w:rPr>
        <w:t>乙方为门诊特殊病患者提供医疗服务时，应按本统筹区门诊特殊疾病管理的相关规定，确定相应的科室和医生，遵守临床诊疗指南，规范门诊特殊疾病医疗服务流程和标准，为参保人员提供医疗服务。</w:t>
      </w:r>
    </w:p>
    <w:p>
      <w:pPr>
        <w:spacing w:line="540" w:lineRule="exact"/>
        <w:rPr>
          <w:rFonts w:ascii="仿宋_GB2312" w:eastAsia="仿宋_GB2312"/>
          <w:sz w:val="32"/>
          <w:szCs w:val="32"/>
        </w:rPr>
      </w:pPr>
    </w:p>
    <w:p>
      <w:pPr>
        <w:pStyle w:val="22"/>
        <w:numPr>
          <w:ilvl w:val="0"/>
          <w:numId w:val="0"/>
        </w:numPr>
        <w:tabs>
          <w:tab w:val="clear" w:pos="1838"/>
        </w:tabs>
        <w:adjustRightInd/>
        <w:snapToGrid/>
        <w:spacing w:line="480" w:lineRule="exact"/>
        <w:ind w:firstLine="640" w:firstLineChars="200"/>
        <w:rPr>
          <w:rFonts w:ascii="楷体_GB2312" w:eastAsia="楷体_GB2312"/>
          <w:color w:val="auto"/>
          <w:sz w:val="32"/>
        </w:rPr>
      </w:pPr>
    </w:p>
    <w:p>
      <w:pPr>
        <w:pStyle w:val="2"/>
        <w:numPr>
          <w:ilvl w:val="0"/>
          <w:numId w:val="2"/>
        </w:numPr>
        <w:adjustRightInd/>
        <w:snapToGrid/>
        <w:spacing w:beforeLines="0" w:afterLines="0" w:line="480" w:lineRule="exact"/>
        <w:ind w:right="0"/>
        <w:rPr>
          <w:szCs w:val="32"/>
        </w:rPr>
      </w:pPr>
      <w:r>
        <w:rPr>
          <w:rFonts w:hint="eastAsia"/>
          <w:szCs w:val="32"/>
        </w:rPr>
        <w:t>药品和医疗服务项目</w:t>
      </w:r>
    </w:p>
    <w:p>
      <w:pPr>
        <w:spacing w:line="480" w:lineRule="exact"/>
        <w:rPr>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第二十条</w:t>
      </w:r>
      <w:r>
        <w:rPr>
          <w:rFonts w:hint="eastAsia"/>
          <w:color w:val="auto"/>
          <w:sz w:val="32"/>
        </w:rPr>
        <w:t>（基本原则）</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乙方应当严格按照安徽省基本医疗保险药品目录、安徽省基本医疗保险医疗服务项目目录，以及医保支付标准和有关政策，为参保人员提供合理、必要的基本医疗服务。乙方应优先配备国家基本药物。</w:t>
      </w:r>
    </w:p>
    <w:p>
      <w:pPr>
        <w:pStyle w:val="23"/>
        <w:adjustRightInd/>
        <w:snapToGrid/>
        <w:spacing w:line="480" w:lineRule="exact"/>
        <w:ind w:firstLine="640"/>
        <w:rPr>
          <w:sz w:val="32"/>
          <w:szCs w:val="32"/>
        </w:rPr>
      </w:pPr>
      <w:r>
        <w:rPr>
          <w:rFonts w:hint="eastAsia"/>
          <w:sz w:val="32"/>
          <w:szCs w:val="32"/>
        </w:rPr>
        <w:t>乙方应当建立医保目录外项目使用分析评价制度，严格控制自费项目的使用比例，切实减轻参保人员个人负担。</w:t>
      </w:r>
    </w:p>
    <w:p>
      <w:pPr>
        <w:pStyle w:val="31"/>
        <w:shd w:val="clear" w:color="auto" w:fill="auto"/>
        <w:snapToGrid w:val="0"/>
        <w:spacing w:before="0" w:after="0" w:line="480" w:lineRule="exact"/>
        <w:ind w:firstLine="400"/>
        <w:jc w:val="both"/>
        <w:rPr>
          <w:rStyle w:val="32"/>
          <w:rFonts w:ascii="仿宋" w:hAnsi="仿宋" w:eastAsia="仿宋" w:cs="仿宋_GB2312"/>
          <w:bCs/>
          <w:spacing w:val="0"/>
          <w:sz w:val="32"/>
          <w:szCs w:val="32"/>
        </w:rPr>
      </w:pPr>
      <w:r>
        <w:rPr>
          <w:rStyle w:val="32"/>
          <w:rFonts w:hint="eastAsia" w:ascii="仿宋" w:hAnsi="仿宋" w:eastAsia="仿宋" w:cs="仿宋_GB2312"/>
          <w:bCs/>
          <w:spacing w:val="0"/>
          <w:sz w:val="32"/>
          <w:szCs w:val="32"/>
        </w:rPr>
        <w:t>乙方应当按照省和本统筹地区医疗服务项目和价格收费标准及其说明等规定进行收费。未经卫生健康部门和</w:t>
      </w:r>
      <w:r>
        <w:rPr>
          <w:rStyle w:val="32"/>
          <w:rFonts w:hint="eastAsia" w:ascii="仿宋" w:hAnsi="仿宋" w:eastAsia="仿宋" w:cs="仿宋_GB2312"/>
          <w:bCs/>
          <w:color w:val="auto"/>
          <w:spacing w:val="0"/>
          <w:sz w:val="32"/>
          <w:szCs w:val="32"/>
          <w:lang w:eastAsia="zh-CN"/>
        </w:rPr>
        <w:t>医疗保障</w:t>
      </w:r>
      <w:r>
        <w:rPr>
          <w:rStyle w:val="32"/>
          <w:rFonts w:hint="eastAsia" w:ascii="仿宋" w:hAnsi="仿宋" w:eastAsia="仿宋" w:cs="仿宋_GB2312"/>
          <w:bCs/>
          <w:spacing w:val="0"/>
          <w:sz w:val="32"/>
          <w:szCs w:val="32"/>
        </w:rPr>
        <w:t>部门批准的项目不得收费。</w:t>
      </w:r>
    </w:p>
    <w:p>
      <w:pPr>
        <w:pStyle w:val="23"/>
        <w:adjustRightInd/>
        <w:snapToGrid/>
        <w:spacing w:line="480" w:lineRule="exact"/>
        <w:ind w:firstLine="640"/>
        <w:rPr>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第二十一条</w:t>
      </w:r>
      <w:r>
        <w:rPr>
          <w:rFonts w:hint="eastAsia"/>
          <w:color w:val="auto"/>
          <w:sz w:val="32"/>
        </w:rPr>
        <w:t>（进销存管理）</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乙方应当严格按照医疗保障、卫生健康、市场监管（药品监督）行政部门的规定，购进、使用、管理药品和医用材料，及时调整药品供应结构，确保医保目录内药品的供应。</w:t>
      </w:r>
    </w:p>
    <w:p>
      <w:pPr>
        <w:tabs>
          <w:tab w:val="left" w:pos="1701"/>
        </w:tabs>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药品及医用材料应当保存真实完整的购进和使用记录，并建立真实、完整、准确的购销存台账。药品、医用材料的购进记录应当包含名称、规格、剂型（型号）、产地、批准文号、数量、价格等信息，确保其使用的可追溯性，甲方可以根据医保管理的需要调查了解上述信息。</w:t>
      </w:r>
    </w:p>
    <w:p>
      <w:pPr>
        <w:tabs>
          <w:tab w:val="left" w:pos="1701"/>
        </w:tabs>
        <w:spacing w:line="480" w:lineRule="exact"/>
        <w:ind w:firstLine="640" w:firstLineChars="200"/>
        <w:rPr>
          <w:rFonts w:ascii="仿宋_GB2312" w:hAnsi="仿宋_GB2312" w:eastAsia="仿宋_GB2312" w:cs="仿宋_GB2312"/>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第二十二条</w:t>
      </w:r>
      <w:r>
        <w:rPr>
          <w:rFonts w:hint="eastAsia"/>
          <w:color w:val="auto"/>
          <w:sz w:val="32"/>
        </w:rPr>
        <w:t>（合理用药）</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乙方对参保人员用药应当严格掌握目录内部分药品的限定支付范围并留存用药依据便于甲方核查。</w:t>
      </w:r>
    </w:p>
    <w:p>
      <w:pPr>
        <w:pStyle w:val="22"/>
        <w:numPr>
          <w:ilvl w:val="0"/>
          <w:numId w:val="0"/>
        </w:numPr>
        <w:adjustRightInd/>
        <w:snapToGrid/>
        <w:spacing w:line="480" w:lineRule="exact"/>
        <w:ind w:firstLine="480" w:firstLineChars="150"/>
        <w:rPr>
          <w:rFonts w:hAnsi="仿宋_GB2312" w:cs="仿宋_GB2312"/>
          <w:color w:val="auto"/>
          <w:sz w:val="32"/>
        </w:rPr>
      </w:pPr>
      <w:r>
        <w:rPr>
          <w:rFonts w:hint="eastAsia" w:hAnsi="仿宋_GB2312" w:cs="仿宋_GB2312"/>
          <w:color w:val="auto"/>
          <w:sz w:val="32"/>
        </w:rPr>
        <w:t>乙方应当采取措施鼓励医师按照先甲类后乙类、先口服制剂后注射制剂、先常释剂型后缓（控）释剂型等原则选择药品；药品目录中每一最小分类下的同类药品原则上不宜叠加使用。</w:t>
      </w:r>
    </w:p>
    <w:p>
      <w:pPr>
        <w:pStyle w:val="22"/>
        <w:numPr>
          <w:ilvl w:val="0"/>
          <w:numId w:val="0"/>
        </w:numPr>
        <w:adjustRightInd/>
        <w:snapToGrid/>
        <w:spacing w:line="480" w:lineRule="exact"/>
        <w:ind w:firstLine="480" w:firstLineChars="150"/>
        <w:rPr>
          <w:rFonts w:hAnsi="仿宋_GB2312" w:cs="仿宋_GB2312"/>
          <w:bCs/>
          <w:color w:val="auto"/>
          <w:sz w:val="32"/>
        </w:rPr>
      </w:pPr>
      <w:r>
        <w:rPr>
          <w:rFonts w:hint="eastAsia" w:hAnsi="仿宋_GB2312" w:cs="仿宋_GB2312"/>
          <w:bCs/>
          <w:color w:val="auto"/>
          <w:sz w:val="32"/>
        </w:rPr>
        <w:t>乙方应当优先、合理使用药品目录内药品，二级及以上综合医疗机构药品目录内西药供应率要达到80%以上，中成药不低于50%；一级综合医疗机构西药供应率要达到70%以上，中成药不低于40%；二级及以上中医院中成药供应率要达到70%以上。</w:t>
      </w:r>
    </w:p>
    <w:p>
      <w:pPr>
        <w:pStyle w:val="22"/>
        <w:numPr>
          <w:ilvl w:val="0"/>
          <w:numId w:val="0"/>
        </w:numPr>
        <w:adjustRightInd/>
        <w:snapToGrid/>
        <w:spacing w:line="480" w:lineRule="exact"/>
        <w:ind w:firstLine="480" w:firstLineChars="150"/>
        <w:rPr>
          <w:rFonts w:hAnsi="仿宋_GB2312" w:cs="仿宋_GB2312"/>
          <w:b/>
          <w:bCs/>
          <w:color w:val="auto"/>
          <w:sz w:val="32"/>
        </w:rPr>
      </w:pPr>
      <w:r>
        <w:rPr>
          <w:rFonts w:hint="eastAsia" w:hAnsi="仿宋_GB2312" w:cs="仿宋_GB2312"/>
          <w:bCs/>
          <w:color w:val="auto"/>
          <w:sz w:val="32"/>
        </w:rPr>
        <w:t>乙方普通门诊处方不得超过7日用量，急诊处方不超过3天用量，慢性病患者不超过15日量，遇特殊情况，应在处方上注明理由，处方量可适当延长，住院患者出院带药时要严格遵守甲方规定，普通疾病住院带药不超过</w:t>
      </w:r>
      <w:r>
        <w:rPr>
          <w:rFonts w:hint="eastAsia" w:hAnsi="仿宋_GB2312" w:cs="仿宋_GB2312"/>
          <w:bCs/>
          <w:color w:val="auto"/>
          <w:sz w:val="32"/>
          <w:lang w:val="en-US" w:eastAsia="zh-CN"/>
        </w:rPr>
        <w:t>7日</w:t>
      </w:r>
      <w:r>
        <w:rPr>
          <w:rFonts w:hint="eastAsia" w:hAnsi="仿宋_GB2312" w:cs="仿宋_GB2312"/>
          <w:bCs/>
          <w:color w:val="auto"/>
          <w:sz w:val="32"/>
        </w:rPr>
        <w:t>量，慢性病患者出院带药量不超过</w:t>
      </w:r>
      <w:r>
        <w:rPr>
          <w:rFonts w:hint="eastAsia" w:hAnsi="仿宋_GB2312" w:cs="仿宋_GB2312"/>
          <w:bCs/>
          <w:color w:val="auto"/>
          <w:sz w:val="32"/>
          <w:lang w:val="en-US" w:eastAsia="zh-CN"/>
        </w:rPr>
        <w:t>15日量</w:t>
      </w:r>
      <w:r>
        <w:rPr>
          <w:rFonts w:hint="eastAsia" w:hAnsi="仿宋_GB2312" w:cs="仿宋_GB2312"/>
          <w:bCs/>
          <w:color w:val="auto"/>
          <w:sz w:val="32"/>
        </w:rPr>
        <w:t>。</w:t>
      </w:r>
    </w:p>
    <w:p>
      <w:pPr>
        <w:pStyle w:val="22"/>
        <w:numPr>
          <w:ilvl w:val="0"/>
          <w:numId w:val="0"/>
        </w:numPr>
        <w:adjustRightInd/>
        <w:snapToGrid/>
        <w:spacing w:line="480" w:lineRule="exact"/>
        <w:ind w:firstLine="482" w:firstLineChars="150"/>
        <w:rPr>
          <w:rFonts w:hAnsi="仿宋_GB2312" w:cs="仿宋_GB2312"/>
          <w:b/>
          <w:bCs/>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第二十三条</w:t>
      </w:r>
      <w:r>
        <w:rPr>
          <w:rFonts w:hint="eastAsia"/>
          <w:color w:val="auto"/>
          <w:sz w:val="32"/>
        </w:rPr>
        <w:t>（合理治疗）</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乙方应当加强合理用药、合理诊疗、合理检查管理，严格掌握各种药品、检查和治疗项目使用的适应症和禁忌症。</w:t>
      </w:r>
    </w:p>
    <w:p>
      <w:pPr>
        <w:pStyle w:val="31"/>
        <w:shd w:val="clear" w:color="auto" w:fill="auto"/>
        <w:snapToGrid w:val="0"/>
        <w:spacing w:before="0" w:after="0" w:line="480" w:lineRule="exact"/>
        <w:ind w:firstLine="400"/>
        <w:jc w:val="both"/>
        <w:rPr>
          <w:rStyle w:val="32"/>
          <w:rFonts w:ascii="仿宋" w:hAnsi="仿宋" w:eastAsia="仿宋" w:cs="仿宋_GB2312"/>
          <w:bCs/>
          <w:spacing w:val="0"/>
          <w:sz w:val="32"/>
          <w:szCs w:val="32"/>
        </w:rPr>
      </w:pPr>
      <w:r>
        <w:rPr>
          <w:rFonts w:hint="eastAsia" w:ascii="仿宋" w:hAnsi="仿宋" w:eastAsia="仿宋"/>
          <w:bCs/>
          <w:spacing w:val="0"/>
          <w:sz w:val="32"/>
          <w:szCs w:val="32"/>
        </w:rPr>
        <w:t>乙方应当规范诊疗，按照医疗诊疗项目、服务设施管理有关规定执行。</w:t>
      </w:r>
      <w:r>
        <w:rPr>
          <w:rStyle w:val="32"/>
          <w:rFonts w:hint="eastAsia" w:ascii="仿宋" w:hAnsi="仿宋" w:eastAsia="仿宋" w:cs="仿宋_GB2312"/>
          <w:bCs/>
          <w:spacing w:val="0"/>
          <w:sz w:val="32"/>
          <w:szCs w:val="32"/>
        </w:rPr>
        <w:t>乙方应当严格掌握各项化验、检查的适应症，不得将特殊检查项目(如彩超、CT、MRI等）列为常规检查。特殊检查项目阳性率应当达到 70 %以上。</w:t>
      </w:r>
    </w:p>
    <w:p>
      <w:pPr>
        <w:pStyle w:val="23"/>
        <w:adjustRightInd/>
        <w:spacing w:line="480" w:lineRule="exact"/>
        <w:ind w:firstLine="640"/>
        <w:rPr>
          <w:rFonts w:ascii="仿宋_GB2312"/>
          <w:bCs/>
          <w:sz w:val="32"/>
          <w:szCs w:val="32"/>
        </w:rPr>
      </w:pPr>
      <w:r>
        <w:rPr>
          <w:rFonts w:hint="eastAsia" w:ascii="仿宋" w:hAnsi="仿宋" w:eastAsia="仿宋"/>
          <w:bCs/>
          <w:sz w:val="32"/>
          <w:szCs w:val="32"/>
        </w:rPr>
        <w:t>乙方应当建立大型设备检查及高值医用材料使用等内部审批制度，严格执行物价部门制定的收费标准，</w:t>
      </w:r>
      <w:r>
        <w:rPr>
          <w:rFonts w:hint="eastAsia" w:ascii="仿宋_GB2312" w:hAnsi="仿宋"/>
          <w:bCs/>
          <w:sz w:val="32"/>
          <w:szCs w:val="32"/>
        </w:rPr>
        <w:t>不得自立项目收费、超标准收费、分解收费、串换项目收费等。</w:t>
      </w:r>
    </w:p>
    <w:p>
      <w:pPr>
        <w:pStyle w:val="23"/>
        <w:adjustRightInd/>
        <w:spacing w:line="480" w:lineRule="exact"/>
        <w:ind w:firstLine="640"/>
        <w:rPr>
          <w:rFonts w:ascii="仿宋" w:hAnsi="仿宋" w:eastAsia="仿宋" w:cs="仿宋"/>
          <w:bCs/>
          <w:sz w:val="32"/>
          <w:szCs w:val="32"/>
        </w:rPr>
      </w:pPr>
      <w:r>
        <w:rPr>
          <w:rFonts w:hint="eastAsia" w:ascii="仿宋" w:hAnsi="仿宋" w:eastAsia="仿宋" w:cs="仿宋"/>
          <w:bCs/>
          <w:sz w:val="32"/>
          <w:szCs w:val="32"/>
        </w:rPr>
        <w:t>乙方需对药品、诊疗项目对照落实专人负责制，对照必须准确无误，不得随意改变。</w:t>
      </w:r>
    </w:p>
    <w:p>
      <w:pPr>
        <w:pStyle w:val="22"/>
        <w:numPr>
          <w:ilvl w:val="0"/>
          <w:numId w:val="0"/>
        </w:numPr>
        <w:tabs>
          <w:tab w:val="left" w:pos="420"/>
        </w:tabs>
        <w:adjustRightInd/>
        <w:spacing w:line="480" w:lineRule="exact"/>
        <w:ind w:firstLine="640" w:firstLineChars="200"/>
        <w:rPr>
          <w:rFonts w:ascii="仿宋" w:hAnsi="仿宋" w:eastAsia="仿宋" w:cs="仿宋"/>
          <w:bCs/>
          <w:color w:val="auto"/>
          <w:sz w:val="32"/>
        </w:rPr>
      </w:pPr>
      <w:r>
        <w:rPr>
          <w:rFonts w:hint="eastAsia" w:ascii="仿宋" w:hAnsi="仿宋" w:eastAsia="仿宋" w:cs="仿宋"/>
          <w:bCs/>
          <w:color w:val="auto"/>
          <w:sz w:val="32"/>
        </w:rPr>
        <w:t xml:space="preserve">乙方所使用的药品及诊疗均应与医嘱完全对应，费用清单与医嘱不一致所发生的医疗费用，甲方不予支付。 </w:t>
      </w:r>
    </w:p>
    <w:p>
      <w:pPr>
        <w:pStyle w:val="23"/>
        <w:adjustRightInd/>
        <w:spacing w:line="480" w:lineRule="exact"/>
        <w:ind w:firstLine="640"/>
        <w:rPr>
          <w:rFonts w:ascii="仿宋" w:hAnsi="仿宋" w:eastAsia="仿宋"/>
          <w:sz w:val="32"/>
          <w:szCs w:val="32"/>
        </w:rPr>
      </w:pPr>
      <w:r>
        <w:rPr>
          <w:rFonts w:hint="eastAsia" w:ascii="仿宋" w:hAnsi="仿宋" w:eastAsia="仿宋" w:cs="仿宋"/>
          <w:bCs/>
          <w:sz w:val="32"/>
          <w:szCs w:val="32"/>
        </w:rPr>
        <w:t>乙方各项诊疗项目收费应以实际运用的检测检验方法相对应的物价收费标准收费，违规计费的费用甲方予以拒付。</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color w:val="auto"/>
          <w:sz w:val="32"/>
        </w:rPr>
      </w:pPr>
      <w:r>
        <w:rPr>
          <w:rFonts w:hint="eastAsia"/>
          <w:b/>
          <w:color w:val="auto"/>
          <w:sz w:val="32"/>
        </w:rPr>
        <w:t>第二十四条</w:t>
      </w:r>
      <w:r>
        <w:rPr>
          <w:rFonts w:hint="eastAsia"/>
          <w:color w:val="auto"/>
          <w:sz w:val="32"/>
        </w:rPr>
        <w:t>（特殊药品、医用材料、服务项目）</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乙方应建立特殊药品、医用材料（含植入类医疗器械）和医疗服务项目内部管理制度，按国家、省和统筹地区医保政策相关规定，严格掌握其适用范围，并保存相关使用记录。</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color w:val="auto"/>
          <w:sz w:val="32"/>
        </w:rPr>
      </w:pPr>
      <w:r>
        <w:rPr>
          <w:rFonts w:hint="eastAsia"/>
          <w:b/>
          <w:color w:val="auto"/>
          <w:sz w:val="32"/>
        </w:rPr>
        <w:t>第二十五条</w:t>
      </w:r>
      <w:r>
        <w:rPr>
          <w:rFonts w:hint="eastAsia"/>
          <w:color w:val="auto"/>
          <w:sz w:val="32"/>
        </w:rPr>
        <w:t>（新增服务项目）</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乙方未经省级医疗保障和卫生健康部门批准的新增医疗服务项目，甲方不予支付。</w:t>
      </w:r>
    </w:p>
    <w:p>
      <w:pPr>
        <w:pStyle w:val="2"/>
        <w:adjustRightInd/>
        <w:snapToGrid/>
        <w:spacing w:beforeLines="0" w:afterLines="0" w:line="480" w:lineRule="exact"/>
        <w:ind w:right="0"/>
        <w:jc w:val="both"/>
        <w:rPr>
          <w:szCs w:val="32"/>
        </w:rPr>
      </w:pPr>
    </w:p>
    <w:p>
      <w:pPr>
        <w:pStyle w:val="2"/>
        <w:numPr>
          <w:ilvl w:val="0"/>
          <w:numId w:val="3"/>
        </w:numPr>
        <w:tabs>
          <w:tab w:val="left" w:pos="2100"/>
        </w:tabs>
        <w:adjustRightInd/>
        <w:snapToGrid/>
        <w:spacing w:beforeLines="0" w:afterLines="0" w:line="480" w:lineRule="exact"/>
        <w:ind w:right="0"/>
        <w:rPr>
          <w:szCs w:val="32"/>
        </w:rPr>
      </w:pPr>
      <w:r>
        <w:rPr>
          <w:rFonts w:hint="eastAsia"/>
          <w:szCs w:val="32"/>
        </w:rPr>
        <w:t>医疗费用结算</w:t>
      </w:r>
    </w:p>
    <w:p>
      <w:pPr>
        <w:spacing w:line="480" w:lineRule="exact"/>
        <w:rPr>
          <w:sz w:val="32"/>
          <w:szCs w:val="32"/>
        </w:rPr>
      </w:pPr>
    </w:p>
    <w:p>
      <w:pPr>
        <w:pStyle w:val="22"/>
        <w:numPr>
          <w:ilvl w:val="0"/>
          <w:numId w:val="0"/>
        </w:numPr>
        <w:adjustRightInd/>
        <w:snapToGrid/>
        <w:spacing w:line="480" w:lineRule="exact"/>
        <w:ind w:firstLine="643" w:firstLineChars="200"/>
        <w:rPr>
          <w:color w:val="auto"/>
          <w:sz w:val="32"/>
        </w:rPr>
      </w:pPr>
      <w:r>
        <w:rPr>
          <w:rFonts w:hint="eastAsia"/>
          <w:b/>
          <w:color w:val="auto"/>
          <w:sz w:val="32"/>
        </w:rPr>
        <w:t>第二十六条</w:t>
      </w:r>
      <w:r>
        <w:rPr>
          <w:rFonts w:hint="eastAsia"/>
          <w:color w:val="auto"/>
          <w:sz w:val="32"/>
        </w:rPr>
        <w:t>（结算原则）</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乙方应当按省、市相关政策收费。未经医疗保障和卫生健康行政部门批准的项目不得收费，不得自立项目收费，不得提高收费标准、套用或分解收费。</w:t>
      </w:r>
      <w:r>
        <w:rPr>
          <w:rFonts w:hint="eastAsia"/>
          <w:bCs/>
          <w:color w:val="auto"/>
          <w:sz w:val="32"/>
        </w:rPr>
        <w:t>甲方可对乙方申请纳入医保结算的项目费用标准进行管控，并对其收费项目进行监督检查。</w:t>
      </w:r>
    </w:p>
    <w:p>
      <w:pPr>
        <w:pStyle w:val="22"/>
        <w:numPr>
          <w:ilvl w:val="0"/>
          <w:numId w:val="0"/>
        </w:numPr>
        <w:tabs>
          <w:tab w:val="left" w:pos="2100"/>
          <w:tab w:val="left" w:pos="2940"/>
        </w:tabs>
        <w:adjustRightInd/>
        <w:snapToGrid/>
        <w:spacing w:line="480" w:lineRule="exact"/>
        <w:ind w:firstLine="643" w:firstLineChars="200"/>
        <w:rPr>
          <w:b/>
          <w:color w:val="auto"/>
          <w:sz w:val="32"/>
        </w:rPr>
      </w:pPr>
      <w:r>
        <w:rPr>
          <w:rFonts w:hint="eastAsia"/>
          <w:b/>
          <w:color w:val="auto"/>
          <w:sz w:val="32"/>
        </w:rPr>
        <w:t>第二十七条</w:t>
      </w:r>
      <w:r>
        <w:rPr>
          <w:rFonts w:hint="eastAsia"/>
          <w:color w:val="auto"/>
          <w:sz w:val="32"/>
        </w:rPr>
        <w:t>（费用结算）</w:t>
      </w:r>
    </w:p>
    <w:p>
      <w:pPr>
        <w:pStyle w:val="22"/>
        <w:numPr>
          <w:ilvl w:val="0"/>
          <w:numId w:val="0"/>
        </w:numPr>
        <w:tabs>
          <w:tab w:val="left" w:pos="2100"/>
          <w:tab w:val="left" w:pos="2940"/>
        </w:tabs>
        <w:adjustRightInd/>
        <w:snapToGrid/>
        <w:spacing w:line="480" w:lineRule="exact"/>
        <w:ind w:firstLine="640" w:firstLineChars="200"/>
        <w:rPr>
          <w:color w:val="auto"/>
          <w:sz w:val="32"/>
        </w:rPr>
      </w:pPr>
      <w:r>
        <w:rPr>
          <w:rFonts w:hint="eastAsia"/>
          <w:color w:val="auto"/>
          <w:sz w:val="32"/>
        </w:rPr>
        <w:t>乙方应按照医保相关规定为参保人员</w:t>
      </w:r>
      <w:r>
        <w:rPr>
          <w:rFonts w:hint="eastAsia"/>
          <w:color w:val="auto"/>
          <w:sz w:val="32"/>
          <w:lang w:eastAsia="zh-CN"/>
        </w:rPr>
        <w:t>提供住院期间每日清单和出院</w:t>
      </w:r>
      <w:r>
        <w:rPr>
          <w:rFonts w:hint="eastAsia"/>
          <w:color w:val="auto"/>
          <w:sz w:val="32"/>
        </w:rPr>
        <w:t>即时结算医疗费用。参保人员在乙方就医结算时，只需交纳按规定应当由参保人员个人承担的费用，乙方应当开具专用票据。</w:t>
      </w:r>
      <w:r>
        <w:rPr>
          <w:rFonts w:hint="eastAsia"/>
          <w:bCs/>
          <w:color w:val="auto"/>
          <w:sz w:val="32"/>
        </w:rPr>
        <w:t>其余费用由甲方按本协议向乙方支付。</w:t>
      </w:r>
      <w:r>
        <w:rPr>
          <w:rFonts w:hint="eastAsia"/>
          <w:color w:val="auto"/>
          <w:sz w:val="32"/>
        </w:rPr>
        <w:t>无特殊情况，乙方不得要求参保人员全额现金结算医疗费用。乙方开展异地就医联网结算服务的，无正当理由不得拒绝异地参保人员即时结算费用。</w:t>
      </w:r>
    </w:p>
    <w:p>
      <w:pPr>
        <w:pStyle w:val="22"/>
        <w:numPr>
          <w:ilvl w:val="0"/>
          <w:numId w:val="0"/>
        </w:numPr>
        <w:adjustRightInd/>
        <w:snapToGrid/>
        <w:spacing w:line="480" w:lineRule="exact"/>
        <w:ind w:firstLine="643" w:firstLineChars="200"/>
        <w:rPr>
          <w:color w:val="auto"/>
          <w:sz w:val="32"/>
        </w:rPr>
      </w:pPr>
      <w:r>
        <w:rPr>
          <w:rFonts w:hint="eastAsia"/>
          <w:b/>
          <w:color w:val="auto"/>
          <w:sz w:val="32"/>
        </w:rPr>
        <w:t>第二十八条</w:t>
      </w:r>
      <w:r>
        <w:rPr>
          <w:rFonts w:hint="eastAsia"/>
          <w:color w:val="auto"/>
          <w:sz w:val="32"/>
        </w:rPr>
        <w:t>（结算费用申报）</w:t>
      </w:r>
    </w:p>
    <w:p>
      <w:pPr>
        <w:pStyle w:val="22"/>
        <w:numPr>
          <w:ilvl w:val="0"/>
          <w:numId w:val="0"/>
        </w:numPr>
        <w:adjustRightInd/>
        <w:snapToGrid/>
        <w:spacing w:line="480" w:lineRule="exact"/>
        <w:ind w:firstLine="640" w:firstLineChars="200"/>
        <w:rPr>
          <w:b/>
          <w:bCs/>
          <w:color w:val="auto"/>
          <w:sz w:val="32"/>
        </w:rPr>
      </w:pPr>
      <w:r>
        <w:rPr>
          <w:rFonts w:hint="eastAsia"/>
          <w:color w:val="auto"/>
          <w:sz w:val="32"/>
        </w:rPr>
        <w:t>乙方应当</w:t>
      </w:r>
      <w:r>
        <w:rPr>
          <w:rFonts w:hint="eastAsia"/>
          <w:bCs/>
          <w:color w:val="auto"/>
          <w:sz w:val="32"/>
        </w:rPr>
        <w:t>在每月</w:t>
      </w:r>
      <w:r>
        <w:rPr>
          <w:rFonts w:hint="eastAsia"/>
          <w:bCs/>
          <w:color w:val="auto"/>
          <w:sz w:val="32"/>
          <w:u w:val="single"/>
        </w:rPr>
        <w:t>5日</w:t>
      </w:r>
      <w:r>
        <w:rPr>
          <w:rFonts w:hint="eastAsia"/>
          <w:bCs/>
          <w:color w:val="auto"/>
          <w:sz w:val="32"/>
        </w:rPr>
        <w:t>之前（节假日顺延）将上月参保人员的结算信息和医疗费用结算申报汇总表等资料报甲方，并按医保规定留存相关资料备查。</w:t>
      </w:r>
    </w:p>
    <w:p>
      <w:pPr>
        <w:pStyle w:val="22"/>
        <w:numPr>
          <w:ilvl w:val="0"/>
          <w:numId w:val="0"/>
        </w:numPr>
        <w:adjustRightInd/>
        <w:snapToGrid/>
        <w:spacing w:line="480" w:lineRule="exact"/>
        <w:ind w:firstLine="643" w:firstLineChars="200"/>
        <w:rPr>
          <w:color w:val="auto"/>
          <w:sz w:val="32"/>
        </w:rPr>
      </w:pPr>
      <w:r>
        <w:rPr>
          <w:rFonts w:hint="eastAsia"/>
          <w:b/>
          <w:color w:val="auto"/>
          <w:sz w:val="32"/>
        </w:rPr>
        <w:t>第二十九条</w:t>
      </w:r>
      <w:r>
        <w:rPr>
          <w:rFonts w:hint="eastAsia"/>
          <w:color w:val="auto"/>
          <w:sz w:val="32"/>
        </w:rPr>
        <w:t>（医疗费用审核）</w:t>
      </w:r>
    </w:p>
    <w:p>
      <w:pPr>
        <w:pStyle w:val="22"/>
        <w:numPr>
          <w:ilvl w:val="0"/>
          <w:numId w:val="0"/>
        </w:numPr>
        <w:adjustRightInd/>
        <w:snapToGrid/>
        <w:spacing w:line="480" w:lineRule="exact"/>
        <w:ind w:firstLine="640" w:firstLineChars="200"/>
        <w:rPr>
          <w:color w:val="auto"/>
          <w:sz w:val="32"/>
        </w:rPr>
      </w:pPr>
      <w:r>
        <w:rPr>
          <w:rFonts w:hint="eastAsia"/>
          <w:color w:val="auto"/>
          <w:sz w:val="32"/>
        </w:rPr>
        <w:t>甲方可通过智能审核、人工复审和组织第三方专家评审等方式对乙方申报的医疗费用进行审核。甲方发现乙方申报费用有不符合医保支付规定的，应当及时告知乙方并要求说明理由。乙方应当在</w:t>
      </w:r>
      <w:r>
        <w:rPr>
          <w:rFonts w:hint="eastAsia"/>
          <w:bCs/>
          <w:color w:val="auto"/>
          <w:sz w:val="32"/>
          <w:u w:val="single"/>
        </w:rPr>
        <w:t>10</w:t>
      </w:r>
      <w:r>
        <w:rPr>
          <w:rFonts w:hint="eastAsia"/>
          <w:color w:val="auto"/>
          <w:sz w:val="32"/>
        </w:rPr>
        <w:t>个工作日之内向甲方做出说明。逾期不说明的，甲方可拒付有关费用。</w:t>
      </w:r>
    </w:p>
    <w:p>
      <w:pPr>
        <w:pStyle w:val="22"/>
        <w:numPr>
          <w:ilvl w:val="0"/>
          <w:numId w:val="0"/>
        </w:numPr>
        <w:adjustRightInd/>
        <w:snapToGrid/>
        <w:spacing w:line="480" w:lineRule="exact"/>
        <w:ind w:firstLine="640" w:firstLineChars="200"/>
        <w:rPr>
          <w:bCs/>
          <w:color w:val="auto"/>
          <w:sz w:val="32"/>
        </w:rPr>
      </w:pPr>
      <w:r>
        <w:rPr>
          <w:rFonts w:hint="eastAsia"/>
          <w:bCs/>
          <w:color w:val="auto"/>
          <w:sz w:val="32"/>
        </w:rPr>
        <w:t>甲方可采取随机抽查的方式对乙方申报的医疗费用进行审核，住院费用的抽查比例不低于总量的</w:t>
      </w:r>
      <w:r>
        <w:rPr>
          <w:bCs/>
          <w:color w:val="auto"/>
          <w:sz w:val="32"/>
        </w:rPr>
        <w:t>5</w:t>
      </w:r>
      <w:r>
        <w:rPr>
          <w:rFonts w:hint="eastAsia"/>
          <w:bCs/>
          <w:color w:val="auto"/>
          <w:sz w:val="32"/>
        </w:rPr>
        <w:t>％。审核查实的违规费用，甲方可按抽查比例放大后予以拒付。</w:t>
      </w: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第三十条</w:t>
      </w:r>
      <w:r>
        <w:rPr>
          <w:rFonts w:hint="eastAsia"/>
          <w:color w:val="auto"/>
          <w:sz w:val="32"/>
        </w:rPr>
        <w:t>（支付方式）</w:t>
      </w:r>
    </w:p>
    <w:p>
      <w:pPr>
        <w:pStyle w:val="22"/>
        <w:numPr>
          <w:ilvl w:val="0"/>
          <w:numId w:val="0"/>
        </w:numPr>
        <w:adjustRightInd/>
        <w:snapToGrid/>
        <w:spacing w:line="480" w:lineRule="exact"/>
        <w:ind w:firstLine="640" w:firstLineChars="200"/>
        <w:rPr>
          <w:rFonts w:hint="eastAsia"/>
          <w:bCs/>
          <w:color w:val="auto"/>
          <w:sz w:val="32"/>
        </w:rPr>
      </w:pPr>
      <w:r>
        <w:rPr>
          <w:rFonts w:hint="eastAsia"/>
          <w:color w:val="auto"/>
          <w:sz w:val="32"/>
        </w:rPr>
        <w:t>甲乙双方应严格执行省、市医保行政部门有关医保支付方式的政策规定并进行费用结算。</w:t>
      </w:r>
      <w:r>
        <w:rPr>
          <w:rFonts w:hint="eastAsia"/>
          <w:bCs/>
          <w:color w:val="auto"/>
          <w:sz w:val="32"/>
        </w:rPr>
        <w:t>各统筹区暂时按各自的支付方式对医疗机构产生的费用进行支付。</w:t>
      </w:r>
    </w:p>
    <w:p>
      <w:pPr>
        <w:pStyle w:val="22"/>
        <w:numPr>
          <w:ilvl w:val="0"/>
          <w:numId w:val="0"/>
        </w:numPr>
        <w:adjustRightInd/>
        <w:snapToGrid/>
        <w:spacing w:line="480" w:lineRule="exact"/>
        <w:ind w:firstLine="643" w:firstLineChars="200"/>
        <w:rPr>
          <w:rFonts w:hint="eastAsia"/>
          <w:bCs/>
          <w:color w:val="auto"/>
          <w:sz w:val="32"/>
          <w:lang w:eastAsia="zh-CN"/>
        </w:rPr>
      </w:pPr>
      <w:r>
        <w:rPr>
          <w:rFonts w:hint="eastAsia"/>
          <w:b/>
          <w:bCs w:val="0"/>
          <w:color w:val="auto"/>
          <w:sz w:val="32"/>
          <w:lang w:eastAsia="zh-CN"/>
        </w:rPr>
        <w:t>第三十一条</w:t>
      </w:r>
      <w:r>
        <w:rPr>
          <w:rFonts w:hint="eastAsia"/>
          <w:bCs/>
          <w:color w:val="auto"/>
          <w:sz w:val="32"/>
          <w:lang w:eastAsia="zh-CN"/>
        </w:rPr>
        <w:t>（检查和年度评价）</w:t>
      </w:r>
    </w:p>
    <w:p>
      <w:pPr>
        <w:pStyle w:val="22"/>
        <w:numPr>
          <w:ilvl w:val="0"/>
          <w:numId w:val="0"/>
        </w:numPr>
        <w:adjustRightInd/>
        <w:snapToGrid/>
        <w:spacing w:line="480" w:lineRule="exact"/>
        <w:ind w:firstLine="640" w:firstLineChars="200"/>
        <w:rPr>
          <w:rFonts w:hint="eastAsia"/>
          <w:bCs/>
          <w:color w:val="auto"/>
          <w:sz w:val="32"/>
          <w:lang w:eastAsia="zh-CN"/>
        </w:rPr>
      </w:pPr>
      <w:r>
        <w:rPr>
          <w:rFonts w:hint="eastAsia"/>
          <w:bCs/>
          <w:color w:val="auto"/>
          <w:sz w:val="32"/>
          <w:lang w:eastAsia="zh-CN"/>
        </w:rPr>
        <w:t>甲方对乙方提供的医疗服务和落实医保政策情况进行常规检查和年终评价，并将检查和评价结果与医保支付费用挂钩。</w:t>
      </w:r>
    </w:p>
    <w:p>
      <w:pPr>
        <w:pStyle w:val="22"/>
        <w:numPr>
          <w:ilvl w:val="0"/>
          <w:numId w:val="0"/>
        </w:numPr>
        <w:adjustRightInd/>
        <w:snapToGrid/>
        <w:spacing w:line="480" w:lineRule="exact"/>
        <w:ind w:firstLine="643" w:firstLineChars="200"/>
        <w:rPr>
          <w:rFonts w:hAnsi="仿宋_GB2312" w:cs="仿宋_GB2312"/>
          <w:b/>
          <w:bCs/>
          <w:color w:val="auto"/>
          <w:sz w:val="32"/>
        </w:rPr>
      </w:pPr>
      <w:r>
        <w:rPr>
          <w:rFonts w:hint="eastAsia" w:hAnsi="仿宋_GB2312" w:cs="仿宋_GB2312"/>
          <w:b/>
          <w:bCs/>
          <w:color w:val="auto"/>
          <w:sz w:val="32"/>
        </w:rPr>
        <w:t>第三十二条</w:t>
      </w:r>
      <w:r>
        <w:rPr>
          <w:rFonts w:hint="eastAsia"/>
          <w:color w:val="auto"/>
          <w:sz w:val="32"/>
        </w:rPr>
        <w:t>（医疗事故处理）</w:t>
      </w:r>
    </w:p>
    <w:p>
      <w:pPr>
        <w:pStyle w:val="22"/>
        <w:numPr>
          <w:ilvl w:val="0"/>
          <w:numId w:val="0"/>
        </w:numPr>
        <w:adjustRightInd/>
        <w:snapToGrid/>
        <w:spacing w:line="480" w:lineRule="exact"/>
        <w:ind w:firstLine="640" w:firstLineChars="200"/>
        <w:rPr>
          <w:color w:val="auto"/>
          <w:sz w:val="32"/>
        </w:rPr>
      </w:pPr>
      <w:r>
        <w:rPr>
          <w:rFonts w:hint="eastAsia"/>
          <w:color w:val="auto"/>
          <w:sz w:val="32"/>
        </w:rPr>
        <w:t>参保人员与乙方发生医疗事故并涉及医疗费用结算的，乙方应当及时报告甲方。在医疗事故处理未完结之前，相关医疗费用甲方暂不予支付。经鉴定确认乙方有责任的，乙方责任范围</w:t>
      </w:r>
      <w:r>
        <w:rPr>
          <w:rFonts w:hint="eastAsia"/>
          <w:bCs/>
          <w:color w:val="auto"/>
          <w:sz w:val="32"/>
        </w:rPr>
        <w:t>及后续治疗</w:t>
      </w:r>
      <w:r>
        <w:rPr>
          <w:rFonts w:hint="eastAsia"/>
          <w:color w:val="auto"/>
          <w:sz w:val="32"/>
        </w:rPr>
        <w:t>医疗费用甲方不予支付。已支付的须追回相关费用。</w:t>
      </w:r>
    </w:p>
    <w:p>
      <w:pPr>
        <w:pStyle w:val="22"/>
        <w:numPr>
          <w:ilvl w:val="0"/>
          <w:numId w:val="0"/>
        </w:numPr>
        <w:adjustRightInd/>
        <w:snapToGrid/>
        <w:spacing w:line="480" w:lineRule="exact"/>
        <w:ind w:firstLine="640" w:firstLineChars="200"/>
        <w:rPr>
          <w:color w:val="auto"/>
          <w:sz w:val="32"/>
        </w:rPr>
      </w:pPr>
    </w:p>
    <w:p>
      <w:pPr>
        <w:pStyle w:val="2"/>
        <w:numPr>
          <w:ilvl w:val="0"/>
          <w:numId w:val="3"/>
        </w:numPr>
        <w:adjustRightInd/>
        <w:snapToGrid/>
        <w:spacing w:beforeLines="0" w:afterLines="0" w:line="480" w:lineRule="exact"/>
        <w:ind w:right="0"/>
        <w:rPr>
          <w:szCs w:val="32"/>
        </w:rPr>
      </w:pPr>
      <w:r>
        <w:rPr>
          <w:rFonts w:hint="eastAsia"/>
          <w:szCs w:val="32"/>
        </w:rPr>
        <w:t>医保服务监管</w:t>
      </w:r>
    </w:p>
    <w:p>
      <w:pPr>
        <w:spacing w:line="480" w:lineRule="exact"/>
        <w:rPr>
          <w:sz w:val="32"/>
          <w:szCs w:val="32"/>
        </w:rPr>
      </w:pPr>
    </w:p>
    <w:p>
      <w:pPr>
        <w:pStyle w:val="22"/>
        <w:numPr>
          <w:ilvl w:val="0"/>
          <w:numId w:val="0"/>
        </w:numPr>
        <w:adjustRightInd/>
        <w:snapToGrid/>
        <w:spacing w:line="480" w:lineRule="exact"/>
        <w:ind w:firstLine="643" w:firstLineChars="200"/>
        <w:rPr>
          <w:color w:val="auto"/>
          <w:sz w:val="32"/>
        </w:rPr>
      </w:pPr>
      <w:r>
        <w:rPr>
          <w:rFonts w:hint="eastAsia"/>
          <w:b/>
          <w:color w:val="auto"/>
          <w:sz w:val="32"/>
        </w:rPr>
        <w:t>第三十三条</w:t>
      </w:r>
      <w:r>
        <w:rPr>
          <w:rFonts w:hint="eastAsia"/>
          <w:color w:val="auto"/>
          <w:sz w:val="32"/>
        </w:rPr>
        <w:t>（智能监控）</w:t>
      </w:r>
    </w:p>
    <w:p>
      <w:pPr>
        <w:pStyle w:val="22"/>
        <w:numPr>
          <w:ilvl w:val="0"/>
          <w:numId w:val="0"/>
        </w:numPr>
        <w:adjustRightInd/>
        <w:snapToGrid/>
        <w:spacing w:line="480" w:lineRule="exact"/>
        <w:ind w:firstLine="640" w:firstLineChars="200"/>
        <w:rPr>
          <w:color w:val="auto"/>
          <w:sz w:val="32"/>
        </w:rPr>
      </w:pPr>
      <w:r>
        <w:rPr>
          <w:rFonts w:hint="eastAsia"/>
          <w:color w:val="auto"/>
          <w:sz w:val="32"/>
        </w:rPr>
        <w:t>甲乙双方应当按照医保行政主管部门智能监控管理要求，充分利用医保智能监控（含审核）系统（以下简称“监控系统”）监管医疗服务。监控系统发现乙方界定清楚的违规行为，甲方可直接通过监控系统进行处理；甲方发现违约疑点时，应及时反馈至乙方，乙方应当及时处理，不得影响参保人员结算。</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第三十四条</w:t>
      </w:r>
      <w:r>
        <w:rPr>
          <w:rFonts w:hint="eastAsia"/>
          <w:color w:val="auto"/>
          <w:sz w:val="32"/>
        </w:rPr>
        <w:t>（医保控费）</w:t>
      </w:r>
    </w:p>
    <w:p>
      <w:pPr>
        <w:pStyle w:val="22"/>
        <w:numPr>
          <w:ilvl w:val="0"/>
          <w:numId w:val="0"/>
        </w:numPr>
        <w:adjustRightInd/>
        <w:snapToGrid/>
        <w:spacing w:line="480" w:lineRule="exact"/>
        <w:ind w:firstLine="640" w:firstLineChars="200"/>
        <w:rPr>
          <w:color w:val="auto"/>
          <w:sz w:val="32"/>
        </w:rPr>
      </w:pPr>
      <w:r>
        <w:rPr>
          <w:rFonts w:hint="eastAsia"/>
          <w:color w:val="auto"/>
          <w:sz w:val="32"/>
        </w:rPr>
        <w:t>甲乙双方按照国家、省和统筹地区的相关规定，共同管控医保医疗服务，确保医疗费用的增长速度与社会经济发展水平以及医保基金安全相协调。</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rFonts w:hAnsi="仿宋_GB2312" w:cs="仿宋_GB2312"/>
          <w:b/>
          <w:color w:val="auto"/>
          <w:sz w:val="32"/>
        </w:rPr>
      </w:pPr>
      <w:r>
        <w:rPr>
          <w:rFonts w:hint="eastAsia" w:hAnsi="仿宋_GB2312" w:cs="仿宋_GB2312"/>
          <w:b/>
          <w:color w:val="auto"/>
          <w:sz w:val="32"/>
        </w:rPr>
        <w:t>第三十五条</w:t>
      </w:r>
      <w:r>
        <w:rPr>
          <w:rFonts w:hint="eastAsia"/>
          <w:color w:val="auto"/>
          <w:sz w:val="32"/>
        </w:rPr>
        <w:t>（监督检查）</w:t>
      </w:r>
    </w:p>
    <w:p>
      <w:pPr>
        <w:pStyle w:val="22"/>
        <w:numPr>
          <w:ilvl w:val="0"/>
          <w:numId w:val="0"/>
        </w:numPr>
        <w:adjustRightInd/>
        <w:snapToGrid/>
        <w:spacing w:line="480" w:lineRule="exact"/>
        <w:ind w:firstLine="640" w:firstLineChars="200"/>
        <w:rPr>
          <w:color w:val="auto"/>
          <w:sz w:val="32"/>
        </w:rPr>
      </w:pPr>
      <w:r>
        <w:rPr>
          <w:rFonts w:hint="eastAsia" w:hAnsi="仿宋_GB2312" w:cs="仿宋_GB2312"/>
          <w:color w:val="auto"/>
          <w:sz w:val="32"/>
        </w:rPr>
        <w:t>甲方或</w:t>
      </w:r>
      <w:r>
        <w:rPr>
          <w:rFonts w:hint="eastAsia"/>
          <w:color w:val="auto"/>
          <w:sz w:val="32"/>
        </w:rPr>
        <w:t>受甲方委托的相关机构</w:t>
      </w:r>
      <w:r>
        <w:rPr>
          <w:rFonts w:hint="eastAsia" w:hAnsi="仿宋_GB2312" w:cs="仿宋_GB2312"/>
          <w:color w:val="auto"/>
          <w:sz w:val="32"/>
        </w:rPr>
        <w:t>可定期、不定期对乙方执行医保政策和履行医保服务协议情况进行监督检</w:t>
      </w:r>
      <w:r>
        <w:rPr>
          <w:rFonts w:hint="eastAsia"/>
          <w:color w:val="auto"/>
          <w:sz w:val="32"/>
        </w:rPr>
        <w:t>查，乙方应当予以配合，并准确完整提供医疗服务有关的材料和数据。乙方为异地参保人员提供联网结算医疗服务的，甲方应实施监督检查，乙方的违约行为按本协议相关条款处理。</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第三十六条</w:t>
      </w:r>
      <w:r>
        <w:rPr>
          <w:rFonts w:hint="eastAsia"/>
          <w:color w:val="auto"/>
          <w:sz w:val="32"/>
        </w:rPr>
        <w:t>（联动监管）</w:t>
      </w:r>
    </w:p>
    <w:p>
      <w:pPr>
        <w:pStyle w:val="22"/>
        <w:numPr>
          <w:ilvl w:val="0"/>
          <w:numId w:val="0"/>
        </w:numPr>
        <w:adjustRightInd/>
        <w:snapToGrid/>
        <w:spacing w:line="480" w:lineRule="exact"/>
        <w:ind w:firstLine="640" w:firstLineChars="200"/>
        <w:rPr>
          <w:color w:val="auto"/>
          <w:sz w:val="32"/>
        </w:rPr>
      </w:pPr>
      <w:r>
        <w:rPr>
          <w:rFonts w:hint="eastAsia"/>
          <w:color w:val="auto"/>
          <w:sz w:val="32"/>
        </w:rPr>
        <w:t>按照省（市）医保联动监管工作要求，其他统筹地区委托甲方对乙方实行监督检查或稽核调查的，乙方应予以配合。其他统筹地区对乙方（含科室、医务人员）作出暂停结算、暂停协议、解除协议、不购买乙方科室和医务人员医疗服务的处理时，甲方可同步执行。</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第三十七条</w:t>
      </w:r>
      <w:r>
        <w:rPr>
          <w:rFonts w:hint="eastAsia"/>
          <w:color w:val="auto"/>
          <w:sz w:val="32"/>
        </w:rPr>
        <w:t>（费用分析）</w:t>
      </w:r>
    </w:p>
    <w:p>
      <w:pPr>
        <w:pStyle w:val="22"/>
        <w:numPr>
          <w:ilvl w:val="0"/>
          <w:numId w:val="0"/>
        </w:numPr>
        <w:adjustRightInd/>
        <w:snapToGrid/>
        <w:spacing w:line="480" w:lineRule="exact"/>
        <w:ind w:firstLine="640" w:firstLineChars="200"/>
        <w:rPr>
          <w:rFonts w:hAnsi="仿宋_GB2312" w:cs="仿宋_GB2312"/>
          <w:color w:val="auto"/>
          <w:sz w:val="32"/>
        </w:rPr>
      </w:pPr>
      <w:r>
        <w:rPr>
          <w:rFonts w:hint="eastAsia"/>
          <w:color w:val="auto"/>
          <w:sz w:val="32"/>
        </w:rPr>
        <w:t>甲方建立医疗费用分析制度，对乙方、乙方科室和医务人员提供医疗服务的医疗费用指标进行分析。</w:t>
      </w:r>
    </w:p>
    <w:p>
      <w:pPr>
        <w:pStyle w:val="22"/>
        <w:numPr>
          <w:ilvl w:val="0"/>
          <w:numId w:val="0"/>
        </w:numPr>
        <w:adjustRightInd/>
        <w:snapToGrid/>
        <w:spacing w:line="480" w:lineRule="exact"/>
        <w:ind w:firstLine="640" w:firstLineChars="200"/>
        <w:rPr>
          <w:rFonts w:hAnsi="仿宋_GB2312" w:cs="仿宋_GB2312"/>
          <w:color w:val="auto"/>
          <w:sz w:val="32"/>
        </w:rPr>
      </w:pPr>
      <w:r>
        <w:rPr>
          <w:rFonts w:hint="eastAsia" w:hAnsi="仿宋_GB2312" w:cs="仿宋_GB2312"/>
          <w:color w:val="auto"/>
          <w:sz w:val="32"/>
        </w:rPr>
        <w:t>乙方应根据本协议的要求建立院内医疗费用分析制度，合理科学分解各项指标。可于每季度第一个月向甲方说明上季度医疗费用的管控情况。</w:t>
      </w:r>
    </w:p>
    <w:p>
      <w:pPr>
        <w:pStyle w:val="22"/>
        <w:numPr>
          <w:ilvl w:val="0"/>
          <w:numId w:val="0"/>
        </w:numPr>
        <w:adjustRightInd/>
        <w:snapToGrid/>
        <w:spacing w:line="480" w:lineRule="exact"/>
        <w:ind w:firstLine="640" w:firstLineChars="200"/>
        <w:rPr>
          <w:rFonts w:hAnsi="仿宋_GB2312" w:cs="仿宋_GB2312"/>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第三十八条</w:t>
      </w:r>
      <w:r>
        <w:rPr>
          <w:rFonts w:hint="eastAsia"/>
          <w:color w:val="auto"/>
          <w:sz w:val="32"/>
        </w:rPr>
        <w:t>（防止过度医疗）</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乙方应加强内部科室和医务人员的管理，制定费用管控具体措施，促使其提供合理诊疗服务，不得采用不当激励方式，严防过度医疗。</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第三十九条</w:t>
      </w:r>
      <w:r>
        <w:rPr>
          <w:rFonts w:hint="eastAsia"/>
          <w:color w:val="auto"/>
          <w:sz w:val="32"/>
        </w:rPr>
        <w:t>（严控服务不足）</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乙方应对医疗服务成本进行严格管理，严控服务不足，保证服务质量和参保人利益，不得因指标管控推诿拒收病人；不得将超过指标控制的医疗费用转嫁给参保人员自费。</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第四十条</w:t>
      </w:r>
      <w:r>
        <w:rPr>
          <w:rFonts w:hint="eastAsia"/>
          <w:color w:val="auto"/>
          <w:sz w:val="32"/>
        </w:rPr>
        <w:t>（满意度评价）</w:t>
      </w:r>
    </w:p>
    <w:p>
      <w:pPr>
        <w:pStyle w:val="22"/>
        <w:numPr>
          <w:ilvl w:val="0"/>
          <w:numId w:val="0"/>
        </w:numPr>
        <w:adjustRightInd/>
        <w:snapToGrid/>
        <w:spacing w:line="480" w:lineRule="exact"/>
        <w:ind w:firstLine="640" w:firstLineChars="200"/>
        <w:rPr>
          <w:color w:val="auto"/>
          <w:sz w:val="32"/>
        </w:rPr>
      </w:pPr>
      <w:r>
        <w:rPr>
          <w:rFonts w:hint="eastAsia"/>
          <w:color w:val="auto"/>
          <w:sz w:val="32"/>
        </w:rPr>
        <w:t>甲方建立参保人员满意度评价制度，对乙方提供医保服务的态度、技术水平和医疗费用等进行综合评价。参保人员满意度可由甲方委托第三方进行。</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第四十一条</w:t>
      </w:r>
      <w:r>
        <w:rPr>
          <w:rFonts w:hint="eastAsia"/>
          <w:color w:val="auto"/>
          <w:sz w:val="32"/>
        </w:rPr>
        <w:t>（协议评价）</w:t>
      </w:r>
    </w:p>
    <w:p>
      <w:pPr>
        <w:pStyle w:val="22"/>
        <w:numPr>
          <w:ilvl w:val="0"/>
          <w:numId w:val="0"/>
        </w:numPr>
        <w:adjustRightInd/>
        <w:snapToGrid/>
        <w:spacing w:line="480" w:lineRule="exact"/>
        <w:ind w:firstLine="640" w:firstLineChars="200"/>
        <w:rPr>
          <w:rFonts w:hAnsi="仿宋_GB2312" w:cs="仿宋_GB2312"/>
          <w:color w:val="auto"/>
          <w:sz w:val="32"/>
        </w:rPr>
      </w:pPr>
      <w:r>
        <w:rPr>
          <w:rFonts w:hint="eastAsia"/>
          <w:color w:val="auto"/>
          <w:sz w:val="32"/>
        </w:rPr>
        <w:t>甲方根据医保政策和本协议的约定对乙方进行定期或不定期检查，检查结果与年终清算、次年总额预算、信用等级管理和协议续签等挂钩。</w:t>
      </w:r>
      <w:r>
        <w:rPr>
          <w:rFonts w:hint="eastAsia" w:hAnsi="仿宋_GB2312" w:cs="仿宋_GB2312"/>
          <w:color w:val="auto"/>
          <w:sz w:val="32"/>
        </w:rPr>
        <w:t>甲方对乙方提供的异地就医联网结算服务与本地就医服务一并进行年度评价。</w:t>
      </w:r>
    </w:p>
    <w:p>
      <w:pPr>
        <w:pStyle w:val="22"/>
        <w:numPr>
          <w:ilvl w:val="0"/>
          <w:numId w:val="0"/>
        </w:numPr>
        <w:adjustRightInd/>
        <w:snapToGrid/>
        <w:spacing w:line="480" w:lineRule="exact"/>
        <w:ind w:firstLine="640" w:firstLineChars="200"/>
        <w:rPr>
          <w:rFonts w:hAnsi="仿宋_GB2312" w:cs="仿宋_GB2312"/>
          <w:color w:val="auto"/>
          <w:sz w:val="32"/>
        </w:rPr>
      </w:pPr>
    </w:p>
    <w:p>
      <w:pPr>
        <w:pStyle w:val="22"/>
        <w:numPr>
          <w:ilvl w:val="0"/>
          <w:numId w:val="0"/>
        </w:numPr>
        <w:adjustRightInd/>
        <w:snapToGrid/>
        <w:spacing w:line="480" w:lineRule="exact"/>
        <w:ind w:firstLine="643" w:firstLineChars="200"/>
        <w:rPr>
          <w:rFonts w:hAnsi="仿宋_GB2312" w:cs="仿宋_GB2312"/>
          <w:b/>
          <w:color w:val="auto"/>
          <w:sz w:val="32"/>
        </w:rPr>
      </w:pPr>
      <w:r>
        <w:rPr>
          <w:rFonts w:hint="eastAsia" w:hAnsi="仿宋_GB2312" w:cs="仿宋_GB2312"/>
          <w:b/>
          <w:color w:val="auto"/>
          <w:sz w:val="32"/>
        </w:rPr>
        <w:t>第四十二条</w:t>
      </w:r>
      <w:r>
        <w:rPr>
          <w:rFonts w:hint="eastAsia"/>
          <w:color w:val="auto"/>
          <w:sz w:val="32"/>
        </w:rPr>
        <w:t>（通报发布）</w:t>
      </w:r>
    </w:p>
    <w:p>
      <w:pPr>
        <w:pStyle w:val="22"/>
        <w:numPr>
          <w:ilvl w:val="0"/>
          <w:numId w:val="0"/>
        </w:numPr>
        <w:adjustRightInd/>
        <w:snapToGrid/>
        <w:spacing w:line="480" w:lineRule="exact"/>
        <w:ind w:firstLine="640" w:firstLineChars="200"/>
        <w:rPr>
          <w:rFonts w:hAnsi="仿宋_GB2312" w:cs="仿宋_GB2312"/>
          <w:color w:val="auto"/>
          <w:sz w:val="32"/>
        </w:rPr>
      </w:pPr>
      <w:r>
        <w:rPr>
          <w:rFonts w:hint="eastAsia" w:hAnsi="仿宋_GB2312" w:cs="仿宋_GB2312"/>
          <w:color w:val="auto"/>
          <w:sz w:val="32"/>
        </w:rPr>
        <w:t>甲</w:t>
      </w:r>
      <w:r>
        <w:rPr>
          <w:rFonts w:hint="eastAsia"/>
          <w:color w:val="auto"/>
          <w:sz w:val="32"/>
        </w:rPr>
        <w:t>方</w:t>
      </w:r>
      <w:r>
        <w:rPr>
          <w:rFonts w:hint="eastAsia" w:hAnsi="仿宋_GB2312" w:cs="仿宋_GB2312"/>
          <w:color w:val="auto"/>
          <w:sz w:val="32"/>
        </w:rPr>
        <w:t>可对</w:t>
      </w:r>
      <w:r>
        <w:rPr>
          <w:rFonts w:hint="eastAsia"/>
          <w:color w:val="auto"/>
          <w:sz w:val="32"/>
        </w:rPr>
        <w:t>乙方的医疗服务违约行为、医疗费用的对比分析情况、医保检查和评价结果等向相关部门、参保单位、参保人员和公众媒体等进行通</w:t>
      </w:r>
      <w:r>
        <w:rPr>
          <w:rFonts w:hint="eastAsia" w:hAnsi="仿宋_GB2312" w:cs="仿宋_GB2312"/>
          <w:color w:val="auto"/>
          <w:sz w:val="32"/>
        </w:rPr>
        <w:t>报发布。</w:t>
      </w:r>
    </w:p>
    <w:p>
      <w:pPr>
        <w:pStyle w:val="22"/>
        <w:numPr>
          <w:ilvl w:val="0"/>
          <w:numId w:val="0"/>
        </w:numPr>
        <w:adjustRightInd/>
        <w:snapToGrid/>
        <w:spacing w:line="480" w:lineRule="exact"/>
        <w:ind w:firstLine="640" w:firstLineChars="200"/>
        <w:rPr>
          <w:rFonts w:hAnsi="仿宋_GB2312" w:cs="仿宋_GB2312"/>
          <w:color w:val="auto"/>
          <w:sz w:val="32"/>
        </w:rPr>
      </w:pPr>
    </w:p>
    <w:p>
      <w:pPr>
        <w:pStyle w:val="2"/>
        <w:numPr>
          <w:ilvl w:val="0"/>
          <w:numId w:val="3"/>
        </w:numPr>
        <w:adjustRightInd/>
        <w:snapToGrid/>
        <w:spacing w:beforeLines="0" w:afterLines="0" w:line="480" w:lineRule="exact"/>
        <w:ind w:right="0"/>
        <w:rPr>
          <w:rFonts w:hAnsi="黑体" w:cs="仿宋_GB2312"/>
          <w:szCs w:val="32"/>
        </w:rPr>
      </w:pPr>
      <w:r>
        <w:rPr>
          <w:rFonts w:hint="eastAsia" w:hAnsi="黑体" w:cs="仿宋_GB2312"/>
          <w:szCs w:val="32"/>
        </w:rPr>
        <w:t>信息系统</w:t>
      </w:r>
    </w:p>
    <w:p>
      <w:pPr>
        <w:spacing w:line="480" w:lineRule="exact"/>
        <w:rPr>
          <w:sz w:val="32"/>
          <w:szCs w:val="32"/>
        </w:rPr>
      </w:pPr>
    </w:p>
    <w:p>
      <w:pPr>
        <w:pStyle w:val="22"/>
        <w:numPr>
          <w:ilvl w:val="0"/>
          <w:numId w:val="0"/>
        </w:numPr>
        <w:adjustRightInd/>
        <w:snapToGrid/>
        <w:spacing w:line="480" w:lineRule="exact"/>
        <w:ind w:firstLine="643" w:firstLineChars="200"/>
        <w:rPr>
          <w:rFonts w:hAnsi="仿宋_GB2312" w:cs="仿宋_GB2312"/>
          <w:b/>
          <w:color w:val="auto"/>
          <w:sz w:val="32"/>
        </w:rPr>
      </w:pPr>
      <w:r>
        <w:rPr>
          <w:rFonts w:hint="eastAsia" w:hAnsi="仿宋_GB2312" w:cs="仿宋_GB2312"/>
          <w:b/>
          <w:color w:val="auto"/>
          <w:sz w:val="32"/>
        </w:rPr>
        <w:t>第四十三条</w:t>
      </w:r>
      <w:r>
        <w:rPr>
          <w:rFonts w:hint="eastAsia"/>
          <w:color w:val="auto"/>
          <w:sz w:val="32"/>
        </w:rPr>
        <w:t>（信息系统管理职责）</w:t>
      </w:r>
    </w:p>
    <w:p>
      <w:pPr>
        <w:pStyle w:val="22"/>
        <w:numPr>
          <w:ilvl w:val="0"/>
          <w:numId w:val="0"/>
        </w:numPr>
        <w:adjustRightInd/>
        <w:snapToGrid/>
        <w:spacing w:line="480" w:lineRule="exact"/>
        <w:ind w:firstLine="640" w:firstLineChars="200"/>
        <w:rPr>
          <w:color w:val="auto"/>
          <w:sz w:val="32"/>
        </w:rPr>
      </w:pPr>
      <w:r>
        <w:rPr>
          <w:rFonts w:hint="eastAsia" w:hAnsi="仿宋_GB2312" w:cs="仿宋_GB2312"/>
          <w:color w:val="auto"/>
          <w:sz w:val="32"/>
        </w:rPr>
        <w:t>乙方应当指定部门及</w:t>
      </w:r>
      <w:r>
        <w:rPr>
          <w:rFonts w:hint="eastAsia"/>
          <w:color w:val="auto"/>
          <w:sz w:val="32"/>
        </w:rPr>
        <w:t>专人负责医保信息管理，明确工作职责，合理设置管理权限，并将专职管理人员名单报甲方备案。甲方应当根据需要组织乙方专职管理人员进行业务培训。</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第四十四条</w:t>
      </w:r>
      <w:r>
        <w:rPr>
          <w:rFonts w:hint="eastAsia"/>
          <w:color w:val="auto"/>
          <w:sz w:val="32"/>
        </w:rPr>
        <w:t>（信息系统要求）</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按本统筹地区医保信息系统的技术和接口标准，配备医保联网相关的设施设备，经医保信息部门验收系统合格后实现与医保信息系统有效对接；乙方与医保信息部门连接的信息系统在与其他外部网络联网时要采用有效的安全隔离措施，保证乙方的网络与互联网物理隔离。乙方需要因升级、硬件损坏等原因重新安装本地系统、更换网络运营商时，须到医保信息部门备案，并经医保信息部门重新验收后方可与医保信息系统对接。</w:t>
      </w:r>
    </w:p>
    <w:p>
      <w:pPr>
        <w:pStyle w:val="23"/>
        <w:adjustRightInd/>
        <w:snapToGrid/>
        <w:spacing w:line="480" w:lineRule="exact"/>
        <w:ind w:firstLine="640"/>
        <w:rPr>
          <w:rFonts w:ascii="仿宋_GB2312" w:hAnsi="宋体"/>
          <w:bCs/>
          <w:sz w:val="32"/>
          <w:szCs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第四十五条</w:t>
      </w:r>
      <w:r>
        <w:rPr>
          <w:rFonts w:hint="eastAsia"/>
          <w:color w:val="auto"/>
          <w:sz w:val="32"/>
        </w:rPr>
        <w:t>（数据库建设要求）</w:t>
      </w:r>
    </w:p>
    <w:p>
      <w:pPr>
        <w:pStyle w:val="22"/>
        <w:numPr>
          <w:ilvl w:val="0"/>
          <w:numId w:val="0"/>
        </w:numPr>
        <w:adjustRightInd/>
        <w:snapToGrid/>
        <w:spacing w:line="480" w:lineRule="exact"/>
        <w:ind w:firstLine="640" w:firstLineChars="200"/>
        <w:rPr>
          <w:color w:val="auto"/>
          <w:sz w:val="32"/>
        </w:rPr>
      </w:pPr>
      <w:r>
        <w:rPr>
          <w:rFonts w:hint="eastAsia"/>
          <w:color w:val="auto"/>
          <w:sz w:val="32"/>
        </w:rPr>
        <w:t>甲方按照国家和省要求建立医保药品、诊疗项目、医疗服务设施、医用材料，以及疾病病种、医疗机构基本情况、医保医师、医疗设备等基础数据库。基础数据库内容涉及乙方的，乙方应当准确真实提供。</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第四十六条</w:t>
      </w:r>
      <w:r>
        <w:rPr>
          <w:rFonts w:hint="eastAsia"/>
          <w:color w:val="auto"/>
          <w:sz w:val="32"/>
        </w:rPr>
        <w:t>（数据库维护）</w:t>
      </w:r>
    </w:p>
    <w:p>
      <w:pPr>
        <w:pStyle w:val="22"/>
        <w:numPr>
          <w:ilvl w:val="0"/>
          <w:numId w:val="0"/>
        </w:numPr>
        <w:adjustRightInd/>
        <w:snapToGrid/>
        <w:spacing w:line="480" w:lineRule="exact"/>
        <w:ind w:firstLine="640" w:firstLineChars="200"/>
        <w:rPr>
          <w:color w:val="auto"/>
          <w:sz w:val="32"/>
        </w:rPr>
      </w:pPr>
      <w:r>
        <w:rPr>
          <w:rFonts w:hint="eastAsia"/>
          <w:color w:val="auto"/>
          <w:sz w:val="32"/>
        </w:rPr>
        <w:t>甲方更新的医保数据库应及时通知乙方，乙方应当及时更新维护本地系统。</w:t>
      </w:r>
      <w:r>
        <w:rPr>
          <w:rFonts w:hint="eastAsia"/>
          <w:bCs/>
          <w:color w:val="auto"/>
          <w:sz w:val="32"/>
        </w:rPr>
        <w:t>乙</w:t>
      </w:r>
      <w:r>
        <w:rPr>
          <w:rFonts w:hint="eastAsia"/>
          <w:color w:val="auto"/>
          <w:sz w:val="32"/>
        </w:rPr>
        <w:t>方的基本情况、医保医师、医疗设备设施、药品和医用材料等新增、变更信息应及时维护至甲方信息系统。</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第四十七条</w:t>
      </w:r>
      <w:r>
        <w:rPr>
          <w:rFonts w:hint="eastAsia"/>
          <w:color w:val="auto"/>
          <w:sz w:val="32"/>
        </w:rPr>
        <w:t>（智能监控系统）</w:t>
      </w:r>
    </w:p>
    <w:p>
      <w:pPr>
        <w:pStyle w:val="22"/>
        <w:numPr>
          <w:ilvl w:val="0"/>
          <w:numId w:val="0"/>
        </w:numPr>
        <w:adjustRightInd/>
        <w:snapToGrid/>
        <w:spacing w:line="480" w:lineRule="exact"/>
        <w:ind w:firstLine="640" w:firstLineChars="200"/>
        <w:rPr>
          <w:color w:val="auto"/>
          <w:sz w:val="32"/>
        </w:rPr>
      </w:pPr>
      <w:r>
        <w:rPr>
          <w:rFonts w:hint="eastAsia"/>
          <w:color w:val="auto"/>
          <w:sz w:val="32"/>
        </w:rPr>
        <w:t>甲方建立医保智能监控系统，乙方信息系统应有效与之对接，将医保智能监控（或审核）规则嵌入医院信息系统。甲乙双方共同设定智能监控（或审核）规则时，甲方应征求乙方的意见，规则确定后要告知乙方。</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bCs/>
          <w:color w:val="auto"/>
          <w:sz w:val="32"/>
        </w:rPr>
      </w:pPr>
      <w:r>
        <w:rPr>
          <w:rFonts w:hint="eastAsia"/>
          <w:b/>
          <w:bCs/>
          <w:color w:val="auto"/>
          <w:sz w:val="32"/>
        </w:rPr>
        <w:t>第四十八条</w:t>
      </w:r>
      <w:r>
        <w:rPr>
          <w:rFonts w:hint="eastAsia"/>
          <w:color w:val="auto"/>
          <w:sz w:val="32"/>
        </w:rPr>
        <w:t>（乙方软件要求）</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应当建立医生（护理）工作站，保证医嘱（护理）记录的可追溯性。甲方的医保结算系统、医保智能监控系统延伸到乙方的医生（护理）工作站和药品、医用材料、试剂等购销存管理系统时，乙方应当予以配合。</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第四十九条</w:t>
      </w:r>
      <w:r>
        <w:rPr>
          <w:rFonts w:hint="eastAsia"/>
          <w:color w:val="auto"/>
          <w:sz w:val="32"/>
        </w:rPr>
        <w:t>（数据及时上传）</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乙方确保向甲方传输的参保人员就医、结算及其他相关信息真实准确，不得人为篡改作假。参保人员发生的医疗服务和费用数据应实时传输至甲方信息系统，最迟应在医疗服务行为发生后</w:t>
      </w:r>
      <w:r>
        <w:rPr>
          <w:color w:val="auto"/>
          <w:sz w:val="32"/>
          <w:u w:val="single"/>
        </w:rPr>
        <w:t>24</w:t>
      </w:r>
      <w:r>
        <w:rPr>
          <w:rFonts w:hint="eastAsia"/>
          <w:color w:val="auto"/>
          <w:sz w:val="32"/>
        </w:rPr>
        <w:t>小时内</w:t>
      </w:r>
      <w:r>
        <w:rPr>
          <w:rFonts w:hint="eastAsia"/>
          <w:color w:val="auto"/>
          <w:sz w:val="32"/>
          <w:lang w:eastAsia="zh-CN"/>
        </w:rPr>
        <w:t>做好入院登记和费用</w:t>
      </w:r>
      <w:r>
        <w:rPr>
          <w:rFonts w:hint="eastAsia"/>
          <w:color w:val="auto"/>
          <w:sz w:val="32"/>
        </w:rPr>
        <w:t>上传，未按时</w:t>
      </w:r>
      <w:r>
        <w:rPr>
          <w:rFonts w:hint="eastAsia"/>
          <w:color w:val="auto"/>
          <w:sz w:val="32"/>
          <w:lang w:eastAsia="zh-CN"/>
        </w:rPr>
        <w:t>登记</w:t>
      </w:r>
      <w:r>
        <w:rPr>
          <w:rFonts w:hint="eastAsia"/>
          <w:color w:val="auto"/>
          <w:sz w:val="32"/>
        </w:rPr>
        <w:t>传输</w:t>
      </w:r>
      <w:r>
        <w:rPr>
          <w:rFonts w:hint="eastAsia"/>
          <w:color w:val="auto"/>
          <w:sz w:val="32"/>
          <w:lang w:eastAsia="zh-CN"/>
        </w:rPr>
        <w:t>费用</w:t>
      </w:r>
      <w:r>
        <w:rPr>
          <w:rFonts w:hint="eastAsia"/>
          <w:color w:val="auto"/>
          <w:sz w:val="32"/>
        </w:rPr>
        <w:t>的乙方应当说明原因。</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第五十条</w:t>
      </w:r>
      <w:r>
        <w:rPr>
          <w:rFonts w:hint="eastAsia"/>
          <w:color w:val="auto"/>
          <w:sz w:val="32"/>
        </w:rPr>
        <w:t>（信息安全管理制度）</w:t>
      </w:r>
    </w:p>
    <w:p>
      <w:pPr>
        <w:pStyle w:val="22"/>
        <w:numPr>
          <w:ilvl w:val="0"/>
          <w:numId w:val="0"/>
        </w:numPr>
        <w:adjustRightInd/>
        <w:snapToGrid/>
        <w:spacing w:line="480" w:lineRule="exact"/>
        <w:ind w:firstLine="640" w:firstLineChars="200"/>
        <w:rPr>
          <w:color w:val="auto"/>
          <w:sz w:val="32"/>
        </w:rPr>
      </w:pPr>
      <w:r>
        <w:rPr>
          <w:rFonts w:hint="eastAsia"/>
          <w:color w:val="auto"/>
          <w:sz w:val="32"/>
        </w:rPr>
        <w:t>甲乙双方应当严格遵守国家、省和统筹地区信息系统安全管理的相关规定，制定信息安全管理制度并有效执行。双方应协调做好医保信息系统的安全工作，保障网络畅通、系统稳定运行，确保数据传输高效、参保人员结算方便快捷，保证参保人员基本信息和结算信息的完整性、准确性和安全性。双方不得泄露参保人员参保就医信息。</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第五十一条</w:t>
      </w:r>
      <w:r>
        <w:rPr>
          <w:rFonts w:hint="eastAsia"/>
          <w:color w:val="auto"/>
          <w:sz w:val="32"/>
        </w:rPr>
        <w:t>（应急预案）</w:t>
      </w:r>
    </w:p>
    <w:p>
      <w:pPr>
        <w:pStyle w:val="22"/>
        <w:numPr>
          <w:ilvl w:val="0"/>
          <w:numId w:val="0"/>
        </w:numPr>
        <w:adjustRightInd/>
        <w:snapToGrid/>
        <w:spacing w:line="480" w:lineRule="exact"/>
        <w:ind w:firstLine="640" w:firstLineChars="200"/>
        <w:rPr>
          <w:color w:val="auto"/>
          <w:sz w:val="32"/>
        </w:rPr>
      </w:pPr>
      <w:r>
        <w:rPr>
          <w:rFonts w:hint="eastAsia"/>
          <w:color w:val="auto"/>
          <w:sz w:val="32"/>
        </w:rPr>
        <w:t>甲乙双方应当制定应急预案，任何一方的信息系统出现故障并影响到参保人员就医的，须及时通知对方且启动应急预案。因信息系统故障暂时不能结算的，乙方应做好解释工作，待故障排除后再行结算。如故障导致长时间无法结算的，乙方可实行手工结算，甲方应当予以支持。</w:t>
      </w:r>
    </w:p>
    <w:p>
      <w:pPr>
        <w:pStyle w:val="22"/>
        <w:numPr>
          <w:ilvl w:val="0"/>
          <w:numId w:val="0"/>
        </w:numPr>
        <w:adjustRightInd/>
        <w:snapToGrid/>
        <w:spacing w:line="480" w:lineRule="exact"/>
        <w:ind w:firstLine="640" w:firstLineChars="200"/>
        <w:rPr>
          <w:color w:val="auto"/>
          <w:sz w:val="32"/>
        </w:rPr>
      </w:pPr>
    </w:p>
    <w:p>
      <w:pPr>
        <w:pStyle w:val="2"/>
        <w:numPr>
          <w:ilvl w:val="0"/>
          <w:numId w:val="3"/>
        </w:numPr>
        <w:adjustRightInd/>
        <w:snapToGrid/>
        <w:spacing w:beforeLines="0" w:afterLines="0" w:line="480" w:lineRule="exact"/>
        <w:ind w:right="0"/>
        <w:rPr>
          <w:szCs w:val="32"/>
        </w:rPr>
      </w:pPr>
      <w:r>
        <w:rPr>
          <w:rFonts w:hint="eastAsia"/>
          <w:szCs w:val="32"/>
        </w:rPr>
        <w:t>违约责任</w:t>
      </w:r>
    </w:p>
    <w:p>
      <w:pPr>
        <w:spacing w:line="480" w:lineRule="exact"/>
        <w:rPr>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第五十二条</w:t>
      </w:r>
      <w:r>
        <w:rPr>
          <w:rFonts w:hint="eastAsia"/>
          <w:color w:val="auto"/>
          <w:sz w:val="32"/>
        </w:rPr>
        <w:t>（甲方违约责任）</w:t>
      </w:r>
    </w:p>
    <w:p>
      <w:pPr>
        <w:pStyle w:val="22"/>
        <w:numPr>
          <w:ilvl w:val="0"/>
          <w:numId w:val="0"/>
        </w:numPr>
        <w:adjustRightInd/>
        <w:snapToGrid/>
        <w:spacing w:line="480" w:lineRule="exact"/>
        <w:ind w:firstLine="640" w:firstLineChars="200"/>
        <w:rPr>
          <w:color w:val="auto"/>
          <w:sz w:val="32"/>
        </w:rPr>
      </w:pPr>
      <w:r>
        <w:rPr>
          <w:rFonts w:hint="eastAsia"/>
          <w:color w:val="auto"/>
          <w:sz w:val="32"/>
        </w:rPr>
        <w:t>甲方有下列情形的，乙方可要求甲方纠正，或提请医保行政部门督促甲方整改或对相关人员做出处理：</w:t>
      </w:r>
    </w:p>
    <w:p>
      <w:pPr>
        <w:pStyle w:val="23"/>
        <w:adjustRightInd/>
        <w:snapToGrid/>
        <w:spacing w:line="480" w:lineRule="exact"/>
        <w:ind w:firstLine="640"/>
        <w:rPr>
          <w:rFonts w:ascii="仿宋_GB2312"/>
          <w:sz w:val="32"/>
          <w:szCs w:val="32"/>
        </w:rPr>
      </w:pPr>
      <w:r>
        <w:rPr>
          <w:rFonts w:ascii="仿宋_GB2312"/>
          <w:sz w:val="32"/>
          <w:szCs w:val="32"/>
        </w:rPr>
        <w:t>1.</w:t>
      </w:r>
      <w:r>
        <w:rPr>
          <w:rFonts w:hint="eastAsia" w:ascii="仿宋_GB2312"/>
          <w:sz w:val="32"/>
          <w:szCs w:val="32"/>
        </w:rPr>
        <w:t>违规签订服务协议或者故意拖延、拒绝与符合条件的医疗机构签订服务协议的；</w:t>
      </w:r>
    </w:p>
    <w:p>
      <w:pPr>
        <w:pStyle w:val="23"/>
        <w:adjustRightInd/>
        <w:snapToGrid/>
        <w:spacing w:line="480" w:lineRule="exact"/>
        <w:ind w:firstLine="640"/>
        <w:rPr>
          <w:rFonts w:ascii="仿宋_GB2312"/>
          <w:sz w:val="32"/>
          <w:szCs w:val="32"/>
        </w:rPr>
      </w:pPr>
      <w:r>
        <w:rPr>
          <w:rFonts w:hint="eastAsia" w:ascii="仿宋_GB2312"/>
          <w:sz w:val="32"/>
          <w:szCs w:val="32"/>
        </w:rPr>
        <w:t>2.未及时告知乙方医保政策和管理制度、操作流程变化情况的；</w:t>
      </w:r>
    </w:p>
    <w:p>
      <w:pPr>
        <w:pStyle w:val="23"/>
        <w:adjustRightInd/>
        <w:snapToGrid/>
        <w:spacing w:line="480" w:lineRule="exact"/>
        <w:ind w:firstLine="640"/>
        <w:rPr>
          <w:rFonts w:ascii="仿宋_GB2312"/>
          <w:sz w:val="32"/>
          <w:szCs w:val="32"/>
        </w:rPr>
      </w:pPr>
      <w:r>
        <w:rPr>
          <w:rFonts w:hint="eastAsia" w:ascii="仿宋_GB2312"/>
          <w:sz w:val="32"/>
          <w:szCs w:val="32"/>
        </w:rPr>
        <w:t>3.克扣或者无正当理由不按时支付基本医疗保险基金的；</w:t>
      </w:r>
    </w:p>
    <w:p>
      <w:pPr>
        <w:pStyle w:val="23"/>
        <w:adjustRightInd/>
        <w:snapToGrid/>
        <w:spacing w:line="480" w:lineRule="exact"/>
        <w:ind w:firstLine="640"/>
        <w:rPr>
          <w:rFonts w:ascii="仿宋_GB2312"/>
          <w:sz w:val="32"/>
          <w:szCs w:val="32"/>
        </w:rPr>
      </w:pPr>
      <w:r>
        <w:rPr>
          <w:rFonts w:hint="eastAsia" w:ascii="仿宋_GB2312"/>
          <w:sz w:val="32"/>
          <w:szCs w:val="32"/>
        </w:rPr>
        <w:t>4.丢失或者篡改基本医疗保险基金记录的；</w:t>
      </w:r>
    </w:p>
    <w:p>
      <w:pPr>
        <w:pStyle w:val="23"/>
        <w:adjustRightInd/>
        <w:snapToGrid/>
        <w:spacing w:line="480" w:lineRule="exact"/>
        <w:ind w:firstLine="640"/>
        <w:rPr>
          <w:rFonts w:ascii="仿宋_GB2312"/>
          <w:sz w:val="32"/>
          <w:szCs w:val="32"/>
        </w:rPr>
      </w:pPr>
      <w:r>
        <w:rPr>
          <w:rFonts w:hint="eastAsia" w:ascii="仿宋_GB2312"/>
          <w:sz w:val="32"/>
          <w:szCs w:val="32"/>
        </w:rPr>
        <w:t>5.骗取或者协助他人套取、骗取基本医疗保险基金的；</w:t>
      </w:r>
    </w:p>
    <w:p>
      <w:pPr>
        <w:pStyle w:val="23"/>
        <w:adjustRightInd/>
        <w:snapToGrid/>
        <w:spacing w:line="480" w:lineRule="exact"/>
        <w:ind w:firstLine="640"/>
        <w:rPr>
          <w:rFonts w:ascii="仿宋_GB2312"/>
          <w:sz w:val="32"/>
          <w:szCs w:val="32"/>
        </w:rPr>
      </w:pPr>
      <w:r>
        <w:rPr>
          <w:rFonts w:hint="eastAsia" w:ascii="仿宋_GB2312"/>
          <w:sz w:val="32"/>
          <w:szCs w:val="32"/>
        </w:rPr>
        <w:t>6.违规收取资料费、评估费等费用，或者利用职务便利收受财物；</w:t>
      </w:r>
    </w:p>
    <w:p>
      <w:pPr>
        <w:pStyle w:val="23"/>
        <w:adjustRightInd/>
        <w:snapToGrid/>
        <w:spacing w:line="480" w:lineRule="exact"/>
        <w:ind w:firstLine="640"/>
        <w:rPr>
          <w:rFonts w:ascii="仿宋_GB2312"/>
          <w:sz w:val="32"/>
          <w:szCs w:val="32"/>
        </w:rPr>
      </w:pPr>
      <w:r>
        <w:rPr>
          <w:rFonts w:hint="eastAsia" w:ascii="仿宋_GB2312"/>
          <w:sz w:val="32"/>
          <w:szCs w:val="32"/>
        </w:rPr>
        <w:t>7.工作人员违反其它有关廉洁规定的；</w:t>
      </w:r>
    </w:p>
    <w:p>
      <w:pPr>
        <w:pStyle w:val="23"/>
        <w:adjustRightInd/>
        <w:snapToGrid/>
        <w:spacing w:line="480" w:lineRule="exact"/>
        <w:ind w:firstLine="640"/>
        <w:rPr>
          <w:rFonts w:ascii="仿宋_GB2312"/>
          <w:b/>
          <w:sz w:val="32"/>
          <w:szCs w:val="32"/>
          <w:u w:val="single"/>
        </w:rPr>
      </w:pPr>
      <w:r>
        <w:rPr>
          <w:rFonts w:hint="eastAsia" w:ascii="仿宋_GB2312"/>
          <w:sz w:val="32"/>
          <w:szCs w:val="32"/>
        </w:rPr>
        <w:t>8.未依法履行基本医疗保险经办服务职责的其他行为。</w:t>
      </w:r>
    </w:p>
    <w:p>
      <w:pPr>
        <w:pStyle w:val="23"/>
        <w:adjustRightInd/>
        <w:snapToGrid/>
        <w:spacing w:line="480" w:lineRule="exact"/>
        <w:ind w:firstLine="643"/>
        <w:rPr>
          <w:rFonts w:ascii="仿宋_GB2312"/>
          <w:b/>
          <w:sz w:val="32"/>
          <w:szCs w:val="32"/>
          <w:u w:val="single"/>
        </w:rPr>
      </w:pPr>
    </w:p>
    <w:p>
      <w:pPr>
        <w:pStyle w:val="22"/>
        <w:numPr>
          <w:ilvl w:val="0"/>
          <w:numId w:val="0"/>
        </w:numPr>
        <w:adjustRightInd/>
        <w:snapToGrid/>
        <w:spacing w:line="480" w:lineRule="exact"/>
        <w:ind w:firstLine="643" w:firstLineChars="200"/>
        <w:rPr>
          <w:color w:val="auto"/>
          <w:sz w:val="32"/>
        </w:rPr>
      </w:pPr>
      <w:r>
        <w:rPr>
          <w:rFonts w:hint="eastAsia"/>
          <w:b/>
          <w:color w:val="auto"/>
          <w:sz w:val="32"/>
        </w:rPr>
        <w:t>第五十三条</w:t>
      </w:r>
      <w:r>
        <w:rPr>
          <w:rFonts w:hint="eastAsia"/>
          <w:color w:val="auto"/>
          <w:sz w:val="32"/>
        </w:rPr>
        <w:t>（乙方违约责任）</w:t>
      </w:r>
    </w:p>
    <w:p>
      <w:pPr>
        <w:pStyle w:val="22"/>
        <w:numPr>
          <w:ilvl w:val="0"/>
          <w:numId w:val="0"/>
        </w:numPr>
        <w:adjustRightInd/>
        <w:snapToGrid/>
        <w:spacing w:line="480" w:lineRule="exact"/>
        <w:ind w:firstLine="640" w:firstLineChars="200"/>
        <w:rPr>
          <w:bCs/>
          <w:color w:val="auto"/>
          <w:sz w:val="32"/>
        </w:rPr>
      </w:pPr>
      <w:r>
        <w:rPr>
          <w:rFonts w:hint="eastAsia"/>
          <w:color w:val="auto"/>
          <w:sz w:val="32"/>
        </w:rPr>
        <w:t>（一）</w:t>
      </w:r>
      <w:r>
        <w:rPr>
          <w:rFonts w:hint="eastAsia"/>
          <w:bCs/>
          <w:color w:val="auto"/>
          <w:sz w:val="32"/>
        </w:rPr>
        <w:t>乙方有下列违约情形之一但未造成医保基金损失的，甲方可对乙方作出约谈、限期整改等处理。拒不整改的，暂停拨付直至整改完成。</w:t>
      </w:r>
    </w:p>
    <w:p>
      <w:pPr>
        <w:spacing w:line="48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rPr>
        <w:t>未按本协议要求落实管理措施的；</w:t>
      </w:r>
    </w:p>
    <w:p>
      <w:pPr>
        <w:spacing w:line="48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医疗费用异常增长过快的；</w:t>
      </w:r>
    </w:p>
    <w:p>
      <w:pPr>
        <w:spacing w:line="48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3.</w:t>
      </w:r>
      <w:r>
        <w:rPr>
          <w:rFonts w:hint="eastAsia" w:ascii="仿宋_GB2312" w:hAnsi="仿宋_GB2312" w:eastAsia="仿宋_GB2312" w:cs="仿宋_GB2312"/>
          <w:sz w:val="32"/>
          <w:szCs w:val="32"/>
        </w:rPr>
        <w:t>未按甲方要求及时、真实准确、完整提供纸质或电子资料的；</w:t>
      </w:r>
    </w:p>
    <w:p>
      <w:pPr>
        <w:spacing w:line="48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4.</w:t>
      </w:r>
      <w:r>
        <w:rPr>
          <w:rFonts w:hint="eastAsia" w:ascii="仿宋_GB2312" w:hAnsi="仿宋_GB2312" w:eastAsia="仿宋_GB2312" w:cs="仿宋_GB2312"/>
          <w:sz w:val="32"/>
          <w:szCs w:val="32"/>
        </w:rPr>
        <w:t>未保障参保人员知情同意权，不向其提供费用明细清单、出院病情证明等资料或不履行知情同意手续的；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未按《病历书写基本规范》、《处方管理办法》等规定书写医疗文书的；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6.收费印章与基本医疗保险定点医疗机构名称不相符的；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7.拒绝为符合入院指征的参保人员进行医保结算，或拒收、推诿病人，减少服务或降低服务标准将未达到出院标准的参保人员办理出院的；</w:t>
      </w:r>
    </w:p>
    <w:p>
      <w:pPr>
        <w:autoSpaceDN w:val="0"/>
        <w:spacing w:line="48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8.未建立药品、医用材料进销存台账；</w:t>
      </w:r>
    </w:p>
    <w:p>
      <w:pPr>
        <w:autoSpaceDN w:val="0"/>
        <w:spacing w:line="480" w:lineRule="exact"/>
        <w:ind w:firstLine="640" w:firstLineChars="200"/>
        <w:rPr>
          <w:rFonts w:hint="eastAsia" w:ascii="仿宋" w:hAnsi="仿宋" w:eastAsia="仿宋"/>
          <w:sz w:val="30"/>
          <w:szCs w:val="30"/>
        </w:rPr>
      </w:pPr>
      <w:r>
        <w:rPr>
          <w:rFonts w:hint="eastAsia" w:ascii="仿宋_GB2312" w:hAnsi="仿宋_GB2312" w:eastAsia="仿宋_GB2312" w:cs="仿宋_GB2312"/>
          <w:sz w:val="32"/>
          <w:szCs w:val="32"/>
        </w:rPr>
        <w:t>9.以医保定点名义从事商业广告和促销活动，诱导医疗消费的；</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0</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未及时处理参保人员投诉和社会监督反映问题的；</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.其他医保服务管理不规范的行为。</w:t>
      </w:r>
    </w:p>
    <w:p>
      <w:pPr>
        <w:spacing w:line="480" w:lineRule="exact"/>
        <w:ind w:firstLine="643" w:firstLineChars="200"/>
        <w:rPr>
          <w:rFonts w:ascii="仿宋_GB2312" w:hAnsi="仿宋_GB2312" w:eastAsia="仿宋_GB2312" w:cs="仿宋_GB2312"/>
          <w:b/>
          <w:sz w:val="32"/>
          <w:szCs w:val="32"/>
        </w:rPr>
      </w:pPr>
    </w:p>
    <w:p>
      <w:pPr>
        <w:spacing w:line="48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（二）乙方有下列违约情形之一并造成基金损失的，视其情节轻重予以暂停拨付、拒付（追回）违规费用、扣除2倍违规金额等处理。情节严重、逾期不改的，可暂停1</w:t>
      </w:r>
      <w:r>
        <w:rPr>
          <w:bCs/>
          <w:sz w:val="32"/>
          <w:szCs w:val="32"/>
        </w:rPr>
        <w:t>~</w:t>
      </w:r>
      <w:r>
        <w:rPr>
          <w:rFonts w:hint="eastAsia" w:ascii="仿宋_GB2312" w:hAnsi="仿宋_GB2312" w:eastAsia="仿宋_GB2312" w:cs="仿宋_GB2312"/>
          <w:bCs/>
          <w:sz w:val="32"/>
          <w:szCs w:val="32"/>
        </w:rPr>
        <w:t>3个月的医疗保险结算关系。</w:t>
      </w:r>
    </w:p>
    <w:p>
      <w:pPr>
        <w:spacing w:line="48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rPr>
        <w:t>未有效核验参保人员医保就医凭证，造成被他人冒名顶替就医的；</w:t>
      </w:r>
    </w:p>
    <w:p>
      <w:pPr>
        <w:autoSpaceDN w:val="0"/>
        <w:spacing w:line="480" w:lineRule="exact"/>
        <w:ind w:firstLine="640" w:firstLineChars="200"/>
        <w:rPr>
          <w:rFonts w:ascii="仿宋_GB2312" w:hAnsi="仿宋_GB2312" w:eastAsia="仿宋_GB2312" w:cs="仿宋_GB2312"/>
          <w:sz w:val="32"/>
          <w:szCs w:val="32"/>
        </w:rPr>
      </w:pPr>
      <w:r>
        <w:rPr>
          <w:rFonts w:ascii="仿宋_GB2312" w:hAnsi="宋体" w:eastAsia="仿宋_GB2312"/>
          <w:bCs/>
          <w:sz w:val="32"/>
          <w:szCs w:val="32"/>
        </w:rPr>
        <w:t>2.</w:t>
      </w:r>
      <w:r>
        <w:rPr>
          <w:rFonts w:hint="eastAsia" w:ascii="仿宋_GB2312" w:hAnsi="宋体" w:eastAsia="仿宋_GB2312"/>
          <w:bCs/>
          <w:sz w:val="32"/>
          <w:szCs w:val="32"/>
        </w:rPr>
        <w:t>发生重复、分解、过度、超限制范围等违规诊疗行为导致增加费用的</w:t>
      </w:r>
      <w:r>
        <w:rPr>
          <w:rFonts w:hint="eastAsia" w:ascii="仿宋_GB2312" w:hAnsi="仿宋_GB2312" w:eastAsia="仿宋_GB2312" w:cs="仿宋_GB2312"/>
          <w:sz w:val="32"/>
          <w:szCs w:val="32"/>
        </w:rPr>
        <w:t>；</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3.未经甲方核准擅自使用新增诊疗项目，并纳入医保基金支付的；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4.违反用药管理规定，超限定使用范围及适应症用药，无指征超疗程或超剂量用药等，药品收费违反有关规定的；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5.参保人员出院带药超量，带检查或治疗项目出院的；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6.进销存台账不能做到帐帐相符、账实相符的；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7.医保药品库、诊疗目录库对照管理混乱的；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8.乙方提供的票据、费用清单、处方、医嘱、检查结果及病程记录等不吻合，或与实际使用情况不一致的；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9.拒绝为符合刷卡条件的参保人员刷卡就医，或拒收、推诿病人，减少服务或降低服务标准将未达到出院标准的参保人员办理出院的；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10.要求参保人员在住院期间到门诊或另设自付账号交费；</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11.未按要求及时</w:t>
      </w:r>
      <w:r>
        <w:rPr>
          <w:rFonts w:hint="eastAsia" w:ascii="仿宋_GB2312" w:hAnsi="仿宋_GB2312" w:eastAsia="仿宋_GB2312" w:cs="仿宋_GB2312"/>
          <w:sz w:val="32"/>
          <w:szCs w:val="32"/>
          <w:lang w:eastAsia="zh-CN"/>
        </w:rPr>
        <w:t>登记并</w:t>
      </w:r>
      <w:r>
        <w:rPr>
          <w:rFonts w:hint="eastAsia" w:ascii="仿宋_GB2312" w:hAnsi="仿宋_GB2312" w:eastAsia="仿宋_GB2312" w:cs="仿宋_GB2312"/>
          <w:sz w:val="32"/>
          <w:szCs w:val="32"/>
        </w:rPr>
        <w:t>上传医保数据的；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12.未按照病种结算试用范围及认定标准进行上报，造成结算标准偏高的；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13.将应由个人负担的医疗费用记入医疗保障基金支付范围的；</w:t>
      </w:r>
    </w:p>
    <w:p>
      <w:pPr>
        <w:autoSpaceDN w:val="0"/>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14.由于医保服务管理不规范造成基金损失的其他行为。</w:t>
      </w:r>
    </w:p>
    <w:p>
      <w:pPr>
        <w:spacing w:line="480" w:lineRule="exact"/>
        <w:ind w:firstLine="643" w:firstLineChars="200"/>
        <w:rPr>
          <w:rFonts w:ascii="仿宋_GB2312" w:eastAsia="仿宋_GB2312"/>
          <w:b/>
          <w:sz w:val="32"/>
          <w:szCs w:val="32"/>
        </w:rPr>
      </w:pPr>
    </w:p>
    <w:p>
      <w:pPr>
        <w:spacing w:line="48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（三）乙方有下列违约情形之一的，甲方视其情节轻重予以拒付（追回）违规费用、扣除2</w:t>
      </w:r>
      <w:r>
        <w:rPr>
          <w:bCs/>
          <w:sz w:val="32"/>
          <w:szCs w:val="32"/>
        </w:rPr>
        <w:t>~</w:t>
      </w:r>
      <w:r>
        <w:rPr>
          <w:rFonts w:hint="eastAsia" w:ascii="仿宋_GB2312" w:hAnsi="仿宋_GB2312" w:eastAsia="仿宋_GB2312" w:cs="仿宋_GB2312"/>
          <w:bCs/>
          <w:sz w:val="32"/>
          <w:szCs w:val="32"/>
        </w:rPr>
        <w:t>5倍违规金额等处理。逾期不改的，可暂停3</w:t>
      </w:r>
      <w:r>
        <w:rPr>
          <w:bCs/>
          <w:sz w:val="32"/>
          <w:szCs w:val="32"/>
        </w:rPr>
        <w:t>~</w:t>
      </w:r>
      <w:r>
        <w:rPr>
          <w:rFonts w:hint="eastAsia" w:ascii="仿宋_GB2312" w:hAnsi="仿宋_GB2312" w:eastAsia="仿宋_GB2312" w:cs="仿宋_GB2312"/>
          <w:bCs/>
          <w:sz w:val="32"/>
          <w:szCs w:val="32"/>
        </w:rPr>
        <w:t>6个月医疗保险结算关系，直至解除服务协议。</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1.发生重复收费、分解收费、超标准收取或者自定标准收取费用的；</w:t>
      </w:r>
    </w:p>
    <w:p>
      <w:pPr>
        <w:spacing w:line="48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sz w:val="32"/>
          <w:szCs w:val="32"/>
        </w:rPr>
        <w:t>2.超出《医疗机构执业许可证》准许范围或执业地址开展医疗服务；</w:t>
      </w:r>
      <w:r>
        <w:rPr>
          <w:rFonts w:hint="eastAsia" w:ascii="仿宋_GB2312" w:hAnsi="仿宋_GB2312" w:eastAsia="仿宋_GB2312" w:cs="仿宋_GB2312"/>
          <w:bCs/>
          <w:sz w:val="32"/>
          <w:szCs w:val="32"/>
        </w:rPr>
        <w:t>将科室或房屋对外承包、出租给个人或其他机构，并以乙方名义开展医疗服务；</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3.分解住院，将不符合入院指征的参保人员收治入院，以及将不符合家庭病床标准病人纳入家庭病床结算；</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4.信息系统未达到甲方要求，未按照甲方提供的接口规范进行程序开发和改造的；</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5.未经甲方允许，随意修改服务器和网络配置或擅自修改HIS收费系统中关于医疗保险相关数据的；</w:t>
      </w:r>
    </w:p>
    <w:p>
      <w:pPr>
        <w:spacing w:line="48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7.诱导医疗消费，情节轻微的；</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8.其他造成医疗保险基金损失的行为或违反本协议约定的行为。</w:t>
      </w:r>
    </w:p>
    <w:p>
      <w:pPr>
        <w:spacing w:line="480" w:lineRule="exact"/>
        <w:ind w:firstLine="640" w:firstLineChars="200"/>
        <w:rPr>
          <w:rFonts w:ascii="仿宋_GB2312" w:hAnsi="仿宋_GB2312" w:eastAsia="仿宋_GB2312" w:cs="仿宋_GB2312"/>
          <w:sz w:val="32"/>
          <w:szCs w:val="32"/>
        </w:rPr>
      </w:pP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（四）乙方有下列违约情形之一的，甲方应追回违法违规费用，并扣除2</w:t>
      </w:r>
      <w:r>
        <w:rPr>
          <w:sz w:val="32"/>
          <w:szCs w:val="32"/>
        </w:rPr>
        <w:t>~</w:t>
      </w:r>
      <w:r>
        <w:rPr>
          <w:rFonts w:hint="eastAsia" w:ascii="仿宋_GB2312" w:hAnsi="仿宋_GB2312" w:eastAsia="仿宋_GB2312" w:cs="仿宋_GB2312"/>
          <w:sz w:val="32"/>
          <w:szCs w:val="32"/>
        </w:rPr>
        <w:t>5倍违规金额。情节严重的，应当解除医保定点服务协议。</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1.挂</w:t>
      </w:r>
      <w:r>
        <w:rPr>
          <w:rFonts w:hint="eastAsia" w:ascii="仿宋_GB2312" w:hAnsi="仿宋_GB2312" w:eastAsia="仿宋_GB2312" w:cs="仿宋_GB2312"/>
          <w:sz w:val="32"/>
          <w:szCs w:val="32"/>
          <w:lang w:eastAsia="zh-CN"/>
        </w:rPr>
        <w:t>床</w:t>
      </w:r>
      <w:bookmarkStart w:id="0" w:name="_GoBack"/>
      <w:bookmarkEnd w:id="0"/>
      <w:r>
        <w:rPr>
          <w:rFonts w:hint="eastAsia" w:ascii="仿宋_GB2312" w:hAnsi="仿宋_GB2312" w:eastAsia="仿宋_GB2312" w:cs="仿宋_GB2312"/>
          <w:sz w:val="32"/>
          <w:szCs w:val="32"/>
        </w:rPr>
        <w:t>住院，将不符合入院指征的参保人员收治入院；</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2.通过串换药品、耗材、物品、诊疗项目等骗取医保基金的；</w:t>
      </w:r>
    </w:p>
    <w:p>
      <w:pPr>
        <w:spacing w:line="4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3.将应由个人负担的医疗费用记入医疗保障基金支付范围的。</w:t>
      </w:r>
    </w:p>
    <w:p>
      <w:pPr>
        <w:pStyle w:val="22"/>
        <w:numPr>
          <w:ilvl w:val="0"/>
          <w:numId w:val="0"/>
        </w:numPr>
        <w:adjustRightInd/>
        <w:snapToGrid/>
        <w:spacing w:line="480" w:lineRule="exact"/>
        <w:ind w:firstLine="640" w:firstLineChars="200"/>
        <w:rPr>
          <w:color w:val="auto"/>
          <w:sz w:val="32"/>
        </w:rPr>
      </w:pPr>
      <w:r>
        <w:rPr>
          <w:rFonts w:hint="eastAsia" w:hAnsi="仿宋_GB2312" w:cs="仿宋_GB2312"/>
          <w:color w:val="auto"/>
          <w:sz w:val="32"/>
        </w:rPr>
        <w:t>（五）</w:t>
      </w:r>
      <w:r>
        <w:rPr>
          <w:rFonts w:hint="eastAsia"/>
          <w:color w:val="auto"/>
          <w:sz w:val="32"/>
        </w:rPr>
        <w:t>乙方有下列违约情形之一的，甲方应当对乙方作出解除协议处理，对已支付的违规费用予以全额追回。</w:t>
      </w:r>
      <w:r>
        <w:rPr>
          <w:rFonts w:hint="eastAsia" w:hAnsi="仿宋_GB2312" w:cs="仿宋_GB2312"/>
          <w:color w:val="auto"/>
          <w:sz w:val="32"/>
        </w:rPr>
        <w:t>被解除服务协议的定点医疗机构，3年内不得申请医保定点。</w:t>
      </w:r>
    </w:p>
    <w:p>
      <w:pPr>
        <w:pStyle w:val="22"/>
        <w:numPr>
          <w:ilvl w:val="0"/>
          <w:numId w:val="0"/>
        </w:numPr>
        <w:adjustRightInd/>
        <w:snapToGrid/>
        <w:spacing w:line="480" w:lineRule="exact"/>
        <w:ind w:firstLine="640" w:firstLineChars="200"/>
        <w:rPr>
          <w:color w:val="auto"/>
          <w:sz w:val="32"/>
        </w:rPr>
      </w:pPr>
      <w:r>
        <w:rPr>
          <w:rFonts w:hint="eastAsia"/>
          <w:color w:val="auto"/>
          <w:sz w:val="32"/>
        </w:rPr>
        <w:t>1.通过伪造医疗文书、财务票据或凭证等方式，虚构医疗服务、虚记费用等方式，故意骗取医保基金的；</w:t>
      </w:r>
    </w:p>
    <w:p>
      <w:pPr>
        <w:pStyle w:val="22"/>
        <w:numPr>
          <w:ilvl w:val="0"/>
          <w:numId w:val="0"/>
        </w:numPr>
        <w:adjustRightInd/>
        <w:snapToGrid/>
        <w:spacing w:line="240" w:lineRule="auto"/>
        <w:ind w:firstLine="640" w:firstLineChars="200"/>
        <w:rPr>
          <w:color w:val="auto"/>
          <w:sz w:val="32"/>
        </w:rPr>
      </w:pPr>
      <w:r>
        <w:rPr>
          <w:rFonts w:hint="eastAsia"/>
          <w:color w:val="auto"/>
          <w:sz w:val="32"/>
        </w:rPr>
        <w:t>2.为非定点医疗机构、暂停协议医疗机构提供医疗费用结算的；</w:t>
      </w:r>
    </w:p>
    <w:p>
      <w:pPr>
        <w:pStyle w:val="22"/>
        <w:numPr>
          <w:ilvl w:val="0"/>
          <w:numId w:val="0"/>
        </w:numPr>
        <w:adjustRightInd/>
        <w:snapToGrid/>
        <w:spacing w:line="480" w:lineRule="exact"/>
        <w:ind w:firstLine="640"/>
        <w:rPr>
          <w:color w:val="auto"/>
          <w:sz w:val="32"/>
        </w:rPr>
      </w:pPr>
      <w:r>
        <w:rPr>
          <w:rFonts w:hint="eastAsia"/>
          <w:color w:val="auto"/>
          <w:sz w:val="32"/>
        </w:rPr>
        <w:t>3.协议有效期内累计3次被暂停协议或暂停协议期间未按时限要求整改或整改不到位的；</w:t>
      </w:r>
    </w:p>
    <w:p>
      <w:pPr>
        <w:pStyle w:val="22"/>
        <w:numPr>
          <w:ilvl w:val="0"/>
          <w:numId w:val="0"/>
        </w:numPr>
        <w:adjustRightInd/>
        <w:snapToGrid/>
        <w:spacing w:line="480" w:lineRule="exact"/>
        <w:ind w:firstLine="640"/>
        <w:rPr>
          <w:color w:val="auto"/>
          <w:sz w:val="32"/>
        </w:rPr>
      </w:pPr>
      <w:r>
        <w:rPr>
          <w:rFonts w:hint="eastAsia"/>
          <w:color w:val="auto"/>
          <w:sz w:val="32"/>
        </w:rPr>
        <w:t>4.被吊销《医疗机构执业许可证》或《营业执照》的；</w:t>
      </w:r>
    </w:p>
    <w:p>
      <w:pPr>
        <w:pStyle w:val="22"/>
        <w:numPr>
          <w:ilvl w:val="0"/>
          <w:numId w:val="0"/>
        </w:numPr>
        <w:adjustRightInd/>
        <w:snapToGrid/>
        <w:spacing w:line="480" w:lineRule="exact"/>
        <w:ind w:firstLine="640"/>
        <w:rPr>
          <w:color w:val="auto"/>
          <w:sz w:val="32"/>
        </w:rPr>
      </w:pPr>
      <w:r>
        <w:rPr>
          <w:rFonts w:hint="eastAsia"/>
          <w:color w:val="auto"/>
          <w:sz w:val="32"/>
        </w:rPr>
        <w:t>5.拒绝、阻挠或不配合经办机构开展必要监督检查的；</w:t>
      </w:r>
    </w:p>
    <w:p>
      <w:pPr>
        <w:pStyle w:val="22"/>
        <w:numPr>
          <w:ilvl w:val="0"/>
          <w:numId w:val="0"/>
        </w:numPr>
        <w:adjustRightInd/>
        <w:snapToGrid/>
        <w:spacing w:line="480" w:lineRule="exact"/>
        <w:ind w:firstLine="640"/>
        <w:rPr>
          <w:color w:val="auto"/>
          <w:sz w:val="32"/>
        </w:rPr>
      </w:pPr>
      <w:r>
        <w:rPr>
          <w:rFonts w:hint="eastAsia"/>
          <w:color w:val="auto"/>
          <w:sz w:val="32"/>
        </w:rPr>
        <w:t>6.未建立或无健全财务管理制度，财务管理混乱，造成严重基金损失的；</w:t>
      </w:r>
    </w:p>
    <w:p>
      <w:pPr>
        <w:pStyle w:val="22"/>
        <w:numPr>
          <w:ilvl w:val="0"/>
          <w:numId w:val="0"/>
        </w:numPr>
        <w:adjustRightInd/>
        <w:snapToGrid/>
        <w:spacing w:line="480" w:lineRule="exact"/>
        <w:ind w:firstLine="640"/>
        <w:rPr>
          <w:color w:val="auto"/>
          <w:sz w:val="32"/>
        </w:rPr>
      </w:pPr>
      <w:r>
        <w:rPr>
          <w:rFonts w:hint="eastAsia"/>
          <w:color w:val="auto"/>
          <w:sz w:val="32"/>
        </w:rPr>
        <w:t>7.有组织诱导消费，造成基金严重损失或情节严重的；</w:t>
      </w:r>
    </w:p>
    <w:p>
      <w:pPr>
        <w:spacing w:line="480" w:lineRule="exact"/>
        <w:ind w:firstLine="640" w:firstLineChars="200"/>
        <w:rPr>
          <w:sz w:val="32"/>
          <w:szCs w:val="32"/>
        </w:rPr>
      </w:pPr>
      <w:r>
        <w:rPr>
          <w:rFonts w:hint="eastAsia" w:ascii="仿宋_GB2312" w:eastAsia="仿宋_GB2312"/>
          <w:sz w:val="32"/>
          <w:szCs w:val="32"/>
        </w:rPr>
        <w:t>8.其他造成严重后果或重大影响的违约行为。</w:t>
      </w:r>
    </w:p>
    <w:p>
      <w:pPr>
        <w:spacing w:line="480" w:lineRule="exact"/>
        <w:ind w:firstLine="640" w:firstLineChars="200"/>
        <w:rPr>
          <w:sz w:val="32"/>
          <w:szCs w:val="32"/>
        </w:rPr>
      </w:pPr>
    </w:p>
    <w:p>
      <w:pPr>
        <w:spacing w:line="480" w:lineRule="exact"/>
        <w:ind w:firstLine="643" w:firstLineChars="200"/>
        <w:rPr>
          <w:rFonts w:ascii="仿宋_GB2312" w:eastAsia="仿宋_GB2312"/>
          <w:sz w:val="32"/>
          <w:szCs w:val="32"/>
        </w:rPr>
      </w:pPr>
      <w:r>
        <w:rPr>
          <w:rFonts w:hint="eastAsia" w:ascii="仿宋_GB2312" w:eastAsia="仿宋_GB2312"/>
          <w:b/>
          <w:sz w:val="32"/>
          <w:szCs w:val="32"/>
        </w:rPr>
        <w:t>第五十四条</w:t>
      </w:r>
      <w:r>
        <w:rPr>
          <w:rFonts w:hint="eastAsia" w:ascii="仿宋_GB2312" w:eastAsia="仿宋_GB2312"/>
          <w:sz w:val="32"/>
          <w:szCs w:val="32"/>
        </w:rPr>
        <w:t>（恢复结算关系）</w:t>
      </w:r>
    </w:p>
    <w:p>
      <w:pPr>
        <w:spacing w:line="480" w:lineRule="exact"/>
        <w:ind w:firstLine="640" w:firstLineChars="200"/>
        <w:rPr>
          <w:rFonts w:ascii="仿宋_GB2312" w:eastAsia="仿宋_GB2312"/>
          <w:b/>
          <w:sz w:val="32"/>
          <w:szCs w:val="32"/>
        </w:rPr>
      </w:pPr>
      <w:r>
        <w:rPr>
          <w:rFonts w:hint="eastAsia" w:ascii="仿宋_GB2312" w:eastAsia="仿宋_GB2312"/>
          <w:sz w:val="32"/>
          <w:szCs w:val="32"/>
        </w:rPr>
        <w:t>乙方应在被暂停医保结算关系期满前15个工作日内，向甲方提出书面申请，经甲方验收达到医保相关政策规定后方可恢定点医疗机构医保结算业务；逾期未提出书面申请的，解除服务协议并终止医保结算关系。</w:t>
      </w:r>
    </w:p>
    <w:p>
      <w:pPr>
        <w:spacing w:line="480" w:lineRule="exact"/>
        <w:ind w:firstLine="640" w:firstLineChars="200"/>
        <w:rPr>
          <w:rFonts w:ascii="仿宋_GB2312" w:eastAsia="仿宋_GB2312"/>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第五十五条</w:t>
      </w:r>
      <w:r>
        <w:rPr>
          <w:rFonts w:hint="eastAsia"/>
          <w:color w:val="auto"/>
          <w:sz w:val="32"/>
        </w:rPr>
        <w:t>（医保医师违约责任）</w:t>
      </w:r>
    </w:p>
    <w:p>
      <w:pPr>
        <w:pStyle w:val="22"/>
        <w:numPr>
          <w:ilvl w:val="0"/>
          <w:numId w:val="0"/>
        </w:numPr>
        <w:adjustRightInd/>
        <w:snapToGrid/>
        <w:spacing w:line="480" w:lineRule="exact"/>
        <w:ind w:firstLine="640" w:firstLineChars="200"/>
        <w:rPr>
          <w:color w:val="auto"/>
          <w:sz w:val="32"/>
        </w:rPr>
      </w:pPr>
      <w:r>
        <w:rPr>
          <w:rFonts w:hint="eastAsia"/>
          <w:color w:val="auto"/>
          <w:sz w:val="32"/>
        </w:rPr>
        <w:t>纳入医保医师管理的乙方医务人员，在医疗服务过程中违反医保规定但未造成医保基金损失的，甲方可依据情节，作出约谈、限期整改等处理；对有骗取医保基金行为的，视情节严重程度给予停止1-5年医保结算资格处理，对其提供医疗服务发生的医疗费用不纳入医保结算，并将违规行为通报医疗保障和卫生健康行政部门。</w:t>
      </w:r>
    </w:p>
    <w:p>
      <w:pPr>
        <w:pStyle w:val="22"/>
        <w:numPr>
          <w:ilvl w:val="0"/>
          <w:numId w:val="0"/>
        </w:numPr>
        <w:adjustRightInd/>
        <w:snapToGrid/>
        <w:spacing w:line="480" w:lineRule="exact"/>
        <w:ind w:firstLine="640" w:firstLineChars="200"/>
        <w:rPr>
          <w:bCs/>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第五十六条</w:t>
      </w:r>
      <w:r>
        <w:rPr>
          <w:rFonts w:hint="eastAsia"/>
          <w:color w:val="auto"/>
          <w:sz w:val="32"/>
        </w:rPr>
        <w:t>（违规违法责任）</w:t>
      </w:r>
    </w:p>
    <w:p>
      <w:pPr>
        <w:pStyle w:val="22"/>
        <w:numPr>
          <w:ilvl w:val="0"/>
          <w:numId w:val="0"/>
        </w:numPr>
        <w:adjustRightInd/>
        <w:snapToGrid/>
        <w:spacing w:line="480" w:lineRule="exact"/>
        <w:ind w:firstLine="640" w:firstLineChars="200"/>
        <w:rPr>
          <w:bCs/>
          <w:color w:val="auto"/>
          <w:sz w:val="32"/>
        </w:rPr>
      </w:pPr>
      <w:r>
        <w:rPr>
          <w:rFonts w:hint="eastAsia"/>
          <w:color w:val="auto"/>
          <w:sz w:val="32"/>
        </w:rPr>
        <w:t>甲方发现乙方或医保医师在基本医疗保险活动中涉嫌违反法律或行政法规的，甲方应提请行政部门进行行政处罚或由行政部门移送司法机关依法追究刑事责任。</w:t>
      </w:r>
    </w:p>
    <w:p>
      <w:pPr>
        <w:pStyle w:val="22"/>
        <w:numPr>
          <w:ilvl w:val="0"/>
          <w:numId w:val="0"/>
        </w:numPr>
        <w:adjustRightInd/>
        <w:snapToGrid/>
        <w:spacing w:line="480" w:lineRule="exact"/>
        <w:ind w:firstLine="640" w:firstLineChars="200"/>
        <w:rPr>
          <w:color w:val="auto"/>
          <w:sz w:val="32"/>
        </w:rPr>
      </w:pPr>
    </w:p>
    <w:p>
      <w:pPr>
        <w:pStyle w:val="2"/>
        <w:numPr>
          <w:ilvl w:val="0"/>
          <w:numId w:val="3"/>
        </w:numPr>
        <w:adjustRightInd/>
        <w:snapToGrid/>
        <w:spacing w:beforeLines="0" w:afterLines="0" w:line="480" w:lineRule="exact"/>
        <w:ind w:right="0"/>
        <w:rPr>
          <w:szCs w:val="32"/>
        </w:rPr>
      </w:pPr>
      <w:r>
        <w:rPr>
          <w:rFonts w:hint="eastAsia"/>
          <w:szCs w:val="32"/>
        </w:rPr>
        <w:t>附则</w:t>
      </w:r>
    </w:p>
    <w:p>
      <w:pPr>
        <w:spacing w:line="480" w:lineRule="exact"/>
        <w:rPr>
          <w:sz w:val="32"/>
          <w:szCs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第五十七条</w:t>
      </w:r>
      <w:r>
        <w:rPr>
          <w:rFonts w:hint="eastAsia"/>
          <w:color w:val="auto"/>
          <w:sz w:val="32"/>
        </w:rPr>
        <w:t>（相关调整）</w:t>
      </w:r>
    </w:p>
    <w:p>
      <w:pPr>
        <w:pStyle w:val="22"/>
        <w:numPr>
          <w:ilvl w:val="0"/>
          <w:numId w:val="0"/>
        </w:numPr>
        <w:adjustRightInd/>
        <w:snapToGrid/>
        <w:spacing w:line="480" w:lineRule="exact"/>
        <w:ind w:firstLine="640" w:firstLineChars="200"/>
        <w:rPr>
          <w:color w:val="auto"/>
          <w:sz w:val="32"/>
        </w:rPr>
      </w:pPr>
      <w:r>
        <w:rPr>
          <w:rFonts w:hint="eastAsia"/>
          <w:color w:val="auto"/>
          <w:sz w:val="32"/>
        </w:rPr>
        <w:t>协议执行期间，国家法律、法规和政策有调整的，应按新的规定执行。甲乙双方也可对本协议进行相应修改和补充，其效力与本协议同等。</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第五十八条</w:t>
      </w:r>
      <w:r>
        <w:rPr>
          <w:rFonts w:hint="eastAsia"/>
          <w:color w:val="auto"/>
          <w:sz w:val="32"/>
        </w:rPr>
        <w:t>（乙方信息变更）</w:t>
      </w:r>
    </w:p>
    <w:p>
      <w:pPr>
        <w:pStyle w:val="22"/>
        <w:numPr>
          <w:ilvl w:val="0"/>
          <w:numId w:val="0"/>
        </w:numPr>
        <w:adjustRightInd/>
        <w:snapToGrid/>
        <w:spacing w:line="480" w:lineRule="exact"/>
        <w:ind w:firstLine="640" w:firstLineChars="200"/>
        <w:rPr>
          <w:color w:val="auto"/>
          <w:sz w:val="32"/>
        </w:rPr>
      </w:pPr>
      <w:r>
        <w:rPr>
          <w:rFonts w:hint="eastAsia"/>
          <w:color w:val="auto"/>
          <w:sz w:val="32"/>
        </w:rPr>
        <w:t>协议履行期间，乙方的名称、执业地址、所有制形式、</w:t>
      </w:r>
      <w:r>
        <w:rPr>
          <w:rFonts w:hint="eastAsia"/>
          <w:bCs/>
          <w:color w:val="auto"/>
          <w:sz w:val="32"/>
        </w:rPr>
        <w:t>法人代表（含实际经营者和管理者）、股权</w:t>
      </w:r>
      <w:r>
        <w:rPr>
          <w:rFonts w:hint="eastAsia"/>
          <w:color w:val="auto"/>
          <w:sz w:val="32"/>
        </w:rPr>
        <w:t>等发生变化时，本协议自动中止。乙方可在</w:t>
      </w:r>
      <w:r>
        <w:rPr>
          <w:rFonts w:hint="eastAsia"/>
          <w:color w:val="auto"/>
          <w:sz w:val="32"/>
          <w:u w:val="single"/>
        </w:rPr>
        <w:t xml:space="preserve"> 15 </w:t>
      </w:r>
      <w:r>
        <w:rPr>
          <w:rFonts w:hint="eastAsia"/>
          <w:color w:val="auto"/>
          <w:sz w:val="32"/>
        </w:rPr>
        <w:t>个工作日内向甲方提供相关材料申请续签协议，逾期未申请的，甲方有权终止协议。</w:t>
      </w:r>
    </w:p>
    <w:p>
      <w:pPr>
        <w:pStyle w:val="22"/>
        <w:numPr>
          <w:ilvl w:val="0"/>
          <w:numId w:val="0"/>
        </w:numPr>
        <w:adjustRightInd/>
        <w:snapToGrid/>
        <w:spacing w:line="480" w:lineRule="exact"/>
        <w:ind w:firstLine="640" w:firstLineChars="200"/>
        <w:rPr>
          <w:color w:val="auto"/>
          <w:sz w:val="32"/>
        </w:rPr>
      </w:pPr>
      <w:r>
        <w:rPr>
          <w:rFonts w:hint="eastAsia"/>
          <w:color w:val="auto"/>
          <w:sz w:val="32"/>
        </w:rPr>
        <w:t>乙方的医疗机构类别、诊疗科目、床位数、医疗保险管理服务部门负责人发生变化时，必须在</w:t>
      </w:r>
      <w:r>
        <w:rPr>
          <w:rFonts w:hint="eastAsia"/>
          <w:color w:val="auto"/>
          <w:sz w:val="32"/>
          <w:u w:val="single"/>
        </w:rPr>
        <w:t xml:space="preserve"> 15</w:t>
      </w:r>
      <w:r>
        <w:rPr>
          <w:rFonts w:hint="eastAsia"/>
          <w:color w:val="auto"/>
          <w:sz w:val="32"/>
        </w:rPr>
        <w:t>个工作日内向甲方提供相关材料进行备案。逾期未备案的，甲方有权中止履行协议。</w:t>
      </w:r>
    </w:p>
    <w:p>
      <w:pPr>
        <w:pStyle w:val="22"/>
        <w:numPr>
          <w:ilvl w:val="0"/>
          <w:numId w:val="0"/>
        </w:numPr>
        <w:adjustRightInd/>
        <w:snapToGrid/>
        <w:spacing w:line="480" w:lineRule="exact"/>
        <w:ind w:firstLine="640" w:firstLineChars="200"/>
        <w:rPr>
          <w:bCs/>
          <w:color w:val="auto"/>
          <w:sz w:val="32"/>
        </w:rPr>
      </w:pPr>
      <w:r>
        <w:rPr>
          <w:rFonts w:hint="eastAsia"/>
          <w:bCs/>
          <w:color w:val="auto"/>
          <w:sz w:val="32"/>
        </w:rPr>
        <w:t>乙方因法人代表、机构名称、股权转让等与第三方所产生的经济纠纷，甲方不承担任何责任。</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第五十九条</w:t>
      </w:r>
      <w:r>
        <w:rPr>
          <w:rFonts w:hint="eastAsia"/>
          <w:color w:val="auto"/>
          <w:sz w:val="32"/>
        </w:rPr>
        <w:t>（协议终止）</w:t>
      </w:r>
    </w:p>
    <w:p>
      <w:pPr>
        <w:pStyle w:val="22"/>
        <w:numPr>
          <w:ilvl w:val="0"/>
          <w:numId w:val="0"/>
        </w:numPr>
        <w:adjustRightInd/>
        <w:snapToGrid/>
        <w:spacing w:line="480" w:lineRule="exact"/>
        <w:ind w:firstLine="640" w:firstLineChars="200"/>
        <w:rPr>
          <w:color w:val="auto"/>
          <w:sz w:val="32"/>
        </w:rPr>
      </w:pPr>
      <w:r>
        <w:rPr>
          <w:rFonts w:hint="eastAsia"/>
          <w:color w:val="auto"/>
          <w:sz w:val="32"/>
        </w:rPr>
        <w:t>有下列情形之一的，本协议终止。</w:t>
      </w:r>
    </w:p>
    <w:p>
      <w:pPr>
        <w:pStyle w:val="23"/>
        <w:adjustRightInd/>
        <w:snapToGrid/>
        <w:spacing w:line="480" w:lineRule="exact"/>
        <w:ind w:firstLine="640"/>
        <w:rPr>
          <w:sz w:val="32"/>
          <w:szCs w:val="32"/>
        </w:rPr>
      </w:pPr>
      <w:r>
        <w:rPr>
          <w:rFonts w:hint="eastAsia"/>
          <w:sz w:val="32"/>
          <w:szCs w:val="32"/>
        </w:rPr>
        <w:t>（一）双方协商一致的；</w:t>
      </w:r>
    </w:p>
    <w:p>
      <w:pPr>
        <w:pStyle w:val="23"/>
        <w:adjustRightInd/>
        <w:snapToGrid/>
        <w:spacing w:line="480" w:lineRule="exact"/>
        <w:ind w:firstLine="640"/>
        <w:rPr>
          <w:sz w:val="32"/>
          <w:szCs w:val="32"/>
        </w:rPr>
      </w:pPr>
      <w:r>
        <w:rPr>
          <w:rFonts w:hint="eastAsia"/>
          <w:sz w:val="32"/>
          <w:szCs w:val="32"/>
        </w:rPr>
        <w:t>（二）乙方停业或歇业（特殊情况经甲方认可的除外）；</w:t>
      </w:r>
    </w:p>
    <w:p>
      <w:pPr>
        <w:pStyle w:val="23"/>
        <w:adjustRightInd/>
        <w:snapToGrid/>
        <w:spacing w:line="480" w:lineRule="exact"/>
        <w:ind w:firstLine="640"/>
        <w:rPr>
          <w:sz w:val="32"/>
          <w:szCs w:val="32"/>
        </w:rPr>
      </w:pPr>
      <w:r>
        <w:rPr>
          <w:rFonts w:hint="eastAsia"/>
          <w:sz w:val="32"/>
          <w:szCs w:val="32"/>
        </w:rPr>
        <w:t>（三）因不可抗力致使协议不能履行的；</w:t>
      </w:r>
    </w:p>
    <w:p>
      <w:pPr>
        <w:pStyle w:val="23"/>
        <w:adjustRightInd/>
        <w:snapToGrid/>
        <w:spacing w:line="480" w:lineRule="exact"/>
        <w:ind w:firstLine="640"/>
        <w:rPr>
          <w:sz w:val="32"/>
          <w:szCs w:val="32"/>
        </w:rPr>
      </w:pPr>
      <w:r>
        <w:rPr>
          <w:rFonts w:hint="eastAsia"/>
          <w:sz w:val="32"/>
          <w:szCs w:val="32"/>
        </w:rPr>
        <w:t>（四）法律、法规及国家和省医保政策规定的其他情形。</w:t>
      </w:r>
    </w:p>
    <w:p>
      <w:pPr>
        <w:pStyle w:val="23"/>
        <w:adjustRightInd/>
        <w:snapToGrid/>
        <w:spacing w:line="480" w:lineRule="exact"/>
        <w:ind w:firstLine="640"/>
        <w:rPr>
          <w:sz w:val="32"/>
          <w:szCs w:val="32"/>
        </w:rPr>
      </w:pPr>
      <w:r>
        <w:rPr>
          <w:rFonts w:hint="eastAsia"/>
          <w:sz w:val="32"/>
          <w:szCs w:val="32"/>
        </w:rPr>
        <w:t>协议履行期间，一方如需终止协议的，应提前</w:t>
      </w:r>
      <w:r>
        <w:rPr>
          <w:sz w:val="32"/>
          <w:szCs w:val="32"/>
        </w:rPr>
        <w:t>30</w:t>
      </w:r>
      <w:r>
        <w:rPr>
          <w:rFonts w:hint="eastAsia"/>
          <w:sz w:val="32"/>
          <w:szCs w:val="32"/>
        </w:rPr>
        <w:t>天通知对方（协议明确终止的除外）。终止、解除、缓签协议的，甲乙双方应共同做好善后工作，保证参保人员正常就医。</w:t>
      </w:r>
    </w:p>
    <w:p>
      <w:pPr>
        <w:pStyle w:val="22"/>
        <w:numPr>
          <w:ilvl w:val="0"/>
          <w:numId w:val="0"/>
        </w:numPr>
        <w:adjustRightInd/>
        <w:snapToGrid/>
        <w:spacing w:line="480" w:lineRule="exact"/>
        <w:rPr>
          <w:color w:val="auto"/>
          <w:sz w:val="32"/>
        </w:rPr>
      </w:pPr>
    </w:p>
    <w:p>
      <w:pPr>
        <w:pStyle w:val="22"/>
        <w:numPr>
          <w:ilvl w:val="0"/>
          <w:numId w:val="0"/>
        </w:numPr>
        <w:kinsoku w:val="0"/>
        <w:topLinePunct/>
        <w:adjustRightInd/>
        <w:snapToGrid/>
        <w:spacing w:line="480" w:lineRule="exact"/>
        <w:ind w:left="55" w:leftChars="26" w:firstLine="643" w:firstLineChars="200"/>
        <w:rPr>
          <w:b/>
          <w:color w:val="auto"/>
          <w:sz w:val="32"/>
        </w:rPr>
      </w:pPr>
      <w:r>
        <w:rPr>
          <w:rFonts w:hint="eastAsia"/>
          <w:b/>
          <w:color w:val="auto"/>
          <w:sz w:val="32"/>
        </w:rPr>
        <w:t>第六十条</w:t>
      </w:r>
      <w:r>
        <w:rPr>
          <w:rFonts w:hint="eastAsia"/>
          <w:color w:val="auto"/>
          <w:sz w:val="32"/>
        </w:rPr>
        <w:t>（协议时效）</w:t>
      </w:r>
    </w:p>
    <w:p>
      <w:pPr>
        <w:pStyle w:val="22"/>
        <w:numPr>
          <w:ilvl w:val="0"/>
          <w:numId w:val="0"/>
        </w:numPr>
        <w:kinsoku w:val="0"/>
        <w:topLinePunct/>
        <w:adjustRightInd/>
        <w:snapToGrid/>
        <w:spacing w:line="480" w:lineRule="exact"/>
        <w:ind w:left="55" w:leftChars="26" w:firstLine="652" w:firstLineChars="204"/>
        <w:rPr>
          <w:color w:val="auto"/>
          <w:sz w:val="32"/>
        </w:rPr>
      </w:pPr>
      <w:r>
        <w:rPr>
          <w:rFonts w:hint="eastAsia"/>
          <w:color w:val="auto"/>
          <w:sz w:val="32"/>
        </w:rPr>
        <w:t>本协议有效期自</w:t>
      </w:r>
      <w:r>
        <w:rPr>
          <w:rFonts w:hint="eastAsia"/>
          <w:snapToGrid w:val="0"/>
          <w:color w:val="auto"/>
          <w:spacing w:val="-30"/>
          <w:kern w:val="0"/>
          <w:sz w:val="32"/>
        </w:rPr>
        <w:t>年月日</w:t>
      </w:r>
      <w:r>
        <w:rPr>
          <w:rFonts w:hint="eastAsia"/>
          <w:color w:val="auto"/>
          <w:sz w:val="32"/>
        </w:rPr>
        <w:t>起至年月日止，协议期限</w:t>
      </w:r>
      <w:r>
        <w:rPr>
          <w:rFonts w:hint="eastAsia"/>
          <w:color w:val="auto"/>
          <w:sz w:val="32"/>
          <w:u w:val="single"/>
        </w:rPr>
        <w:t xml:space="preserve"> 1 </w:t>
      </w:r>
      <w:r>
        <w:rPr>
          <w:rFonts w:hint="eastAsia"/>
          <w:color w:val="auto"/>
          <w:sz w:val="32"/>
        </w:rPr>
        <w:t>年。</w:t>
      </w:r>
    </w:p>
    <w:p>
      <w:pPr>
        <w:pStyle w:val="22"/>
        <w:numPr>
          <w:ilvl w:val="0"/>
          <w:numId w:val="0"/>
        </w:numPr>
        <w:kinsoku w:val="0"/>
        <w:topLinePunct/>
        <w:adjustRightInd/>
        <w:snapToGrid/>
        <w:spacing w:line="480" w:lineRule="exact"/>
        <w:rPr>
          <w:color w:val="auto"/>
          <w:sz w:val="32"/>
        </w:rPr>
      </w:pPr>
    </w:p>
    <w:p>
      <w:pPr>
        <w:pStyle w:val="22"/>
        <w:numPr>
          <w:ilvl w:val="0"/>
          <w:numId w:val="0"/>
        </w:numPr>
        <w:adjustRightInd/>
        <w:snapToGrid/>
        <w:spacing w:line="480" w:lineRule="exact"/>
        <w:ind w:firstLine="643" w:firstLineChars="200"/>
        <w:rPr>
          <w:b/>
          <w:color w:val="auto"/>
          <w:sz w:val="32"/>
        </w:rPr>
      </w:pPr>
      <w:r>
        <w:rPr>
          <w:rFonts w:hint="eastAsia"/>
          <w:b/>
          <w:color w:val="auto"/>
          <w:sz w:val="32"/>
        </w:rPr>
        <w:t>第六十一条</w:t>
      </w:r>
      <w:r>
        <w:rPr>
          <w:rFonts w:hint="eastAsia"/>
          <w:color w:val="auto"/>
          <w:sz w:val="32"/>
        </w:rPr>
        <w:t>（备案留存）</w:t>
      </w:r>
    </w:p>
    <w:p>
      <w:pPr>
        <w:pStyle w:val="22"/>
        <w:numPr>
          <w:ilvl w:val="0"/>
          <w:numId w:val="0"/>
        </w:numPr>
        <w:adjustRightInd/>
        <w:snapToGrid/>
        <w:spacing w:line="480" w:lineRule="exact"/>
        <w:ind w:firstLine="640" w:firstLineChars="200"/>
        <w:rPr>
          <w:color w:val="auto"/>
          <w:sz w:val="32"/>
        </w:rPr>
      </w:pPr>
      <w:r>
        <w:rPr>
          <w:rFonts w:hint="eastAsia"/>
          <w:color w:val="auto"/>
          <w:sz w:val="32"/>
        </w:rPr>
        <w:t>本协议一式三份，甲乙双方签字盖章后生效，各执一份，另一份送同级医疗保障行政部门存档。</w:t>
      </w:r>
    </w:p>
    <w:p>
      <w:pPr>
        <w:pStyle w:val="22"/>
        <w:numPr>
          <w:ilvl w:val="0"/>
          <w:numId w:val="0"/>
        </w:numPr>
        <w:adjustRightInd/>
        <w:snapToGrid/>
        <w:spacing w:line="480" w:lineRule="exact"/>
        <w:ind w:firstLine="640" w:firstLineChars="200"/>
        <w:rPr>
          <w:color w:val="auto"/>
          <w:sz w:val="32"/>
        </w:rPr>
      </w:pPr>
    </w:p>
    <w:p>
      <w:pPr>
        <w:pStyle w:val="22"/>
        <w:numPr>
          <w:ilvl w:val="0"/>
          <w:numId w:val="0"/>
        </w:numPr>
        <w:adjustRightInd/>
        <w:snapToGrid/>
        <w:spacing w:line="480" w:lineRule="exact"/>
        <w:rPr>
          <w:color w:val="auto"/>
          <w:sz w:val="32"/>
        </w:rPr>
      </w:pPr>
    </w:p>
    <w:p>
      <w:pPr>
        <w:pStyle w:val="22"/>
        <w:numPr>
          <w:ilvl w:val="0"/>
          <w:numId w:val="0"/>
        </w:numPr>
        <w:adjustRightInd/>
        <w:snapToGrid/>
        <w:spacing w:line="480" w:lineRule="exact"/>
        <w:rPr>
          <w:color w:val="auto"/>
          <w:sz w:val="32"/>
        </w:rPr>
      </w:pPr>
    </w:p>
    <w:p>
      <w:pPr>
        <w:adjustRightInd w:val="0"/>
        <w:snapToGrid w:val="0"/>
        <w:rPr>
          <w:rFonts w:ascii="仿宋_GB2312" w:hAnsi="仿宋_GB2312" w:eastAsia="仿宋_GB2312" w:cs="仿宋_GB2312"/>
          <w:sz w:val="32"/>
          <w:szCs w:val="32"/>
        </w:rPr>
      </w:pPr>
      <w:r>
        <w:rPr>
          <w:rFonts w:hint="eastAsia" w:ascii="仿宋_GB2312" w:hAnsi="仿宋_GB2312" w:eastAsia="仿宋_GB2312" w:cs="仿宋_GB2312"/>
          <w:snapToGrid w:val="0"/>
          <w:spacing w:val="-20"/>
          <w:kern w:val="0"/>
          <w:sz w:val="32"/>
          <w:szCs w:val="32"/>
        </w:rPr>
        <w:t>甲方：         （签章）</w:t>
      </w:r>
      <w:r>
        <w:rPr>
          <w:rFonts w:hint="eastAsia" w:ascii="仿宋_GB2312" w:hAnsi="仿宋_GB2312" w:eastAsia="仿宋_GB2312" w:cs="仿宋_GB2312"/>
          <w:sz w:val="32"/>
          <w:szCs w:val="32"/>
        </w:rPr>
        <w:t xml:space="preserve">         乙方：（签章）</w:t>
      </w:r>
    </w:p>
    <w:p>
      <w:pPr>
        <w:pStyle w:val="8"/>
        <w:adjustRightInd w:val="0"/>
        <w:snapToGrid w:val="0"/>
        <w:spacing w:before="0" w:beforeAutospacing="0" w:after="0" w:afterAutospacing="0" w:line="540" w:lineRule="exact"/>
        <w:rPr>
          <w:color w:val="auto"/>
          <w:sz w:val="32"/>
          <w:szCs w:val="32"/>
        </w:rPr>
      </w:pPr>
    </w:p>
    <w:p>
      <w:pPr>
        <w:adjustRightInd w:val="0"/>
        <w:snapToGrid w:val="0"/>
        <w:spacing w:line="540" w:lineRule="exact"/>
        <w:rPr>
          <w:rFonts w:ascii="仿宋_GB2312" w:hAnsi="仿宋_GB2312" w:eastAsia="仿宋_GB2312" w:cs="仿宋_GB2312"/>
          <w:sz w:val="32"/>
          <w:szCs w:val="32"/>
        </w:rPr>
      </w:pPr>
    </w:p>
    <w:p>
      <w:pPr>
        <w:tabs>
          <w:tab w:val="left" w:pos="5355"/>
        </w:tabs>
        <w:adjustRightInd w:val="0"/>
        <w:snapToGrid w:val="0"/>
        <w:spacing w:line="54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法人代表：（签名）           法人代表：   （签名）</w:t>
      </w:r>
    </w:p>
    <w:p>
      <w:pPr>
        <w:adjustRightInd w:val="0"/>
        <w:snapToGrid w:val="0"/>
        <w:spacing w:line="540" w:lineRule="exact"/>
        <w:ind w:firstLine="640" w:firstLineChars="200"/>
        <w:rPr>
          <w:rFonts w:ascii="仿宋_GB2312" w:hAnsi="仿宋_GB2312" w:eastAsia="仿宋_GB2312" w:cs="仿宋_GB2312"/>
          <w:sz w:val="32"/>
          <w:szCs w:val="32"/>
        </w:rPr>
      </w:pPr>
    </w:p>
    <w:p>
      <w:pPr>
        <w:adjustRightInd w:val="0"/>
        <w:snapToGrid w:val="0"/>
        <w:spacing w:line="540" w:lineRule="exact"/>
        <w:ind w:firstLine="640" w:firstLineChars="200"/>
        <w:rPr>
          <w:rFonts w:ascii="仿宋_GB2312" w:hAnsi="仿宋_GB2312" w:eastAsia="仿宋_GB2312" w:cs="仿宋_GB2312"/>
          <w:sz w:val="32"/>
          <w:szCs w:val="32"/>
        </w:rPr>
      </w:pPr>
    </w:p>
    <w:p>
      <w:pPr>
        <w:adjustRightInd w:val="0"/>
        <w:snapToGrid w:val="0"/>
        <w:spacing w:line="540" w:lineRule="exact"/>
        <w:ind w:firstLine="960" w:firstLineChars="300"/>
        <w:rPr>
          <w:sz w:val="32"/>
          <w:szCs w:val="32"/>
        </w:rPr>
      </w:pPr>
      <w:r>
        <w:rPr>
          <w:rFonts w:hint="eastAsia" w:ascii="仿宋_GB2312" w:hAnsi="仿宋_GB2312" w:eastAsia="仿宋_GB2312" w:cs="仿宋_GB2312"/>
          <w:sz w:val="32"/>
          <w:szCs w:val="32"/>
        </w:rPr>
        <w:t>年  月  日                  年  月   日</w:t>
      </w:r>
    </w:p>
    <w:sectPr>
      <w:footerReference r:id="rId3" w:type="default"/>
      <w:footerReference r:id="rId4" w:type="even"/>
      <w:pgSz w:w="11906" w:h="16838"/>
      <w:pgMar w:top="1440" w:right="991" w:bottom="1440" w:left="1276"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MingLiU">
    <w:panose1 w:val="02020509000000000000"/>
    <w:charset w:val="88"/>
    <w:family w:val="modern"/>
    <w:pitch w:val="default"/>
    <w:sig w:usb0="A00002FF" w:usb1="28CFFCFA" w:usb2="00000016" w:usb3="00000000" w:csb0="00100001" w:csb1="00000000"/>
  </w:font>
  <w:font w:name="MingLiU_HKSCS">
    <w:panose1 w:val="02020500000000000000"/>
    <w:charset w:val="88"/>
    <w:family w:val="roman"/>
    <w:pitch w:val="default"/>
    <w:sig w:usb0="A00002FF" w:usb1="38CFFCFA" w:usb2="00000016" w:usb3="00000000" w:csb0="00100001" w:csb1="00000000"/>
  </w:font>
  <w:font w:name="方正大标宋简体">
    <w:altName w:val="微软雅黑"/>
    <w:panose1 w:val="00000000000000000000"/>
    <w:charset w:val="86"/>
    <w:family w:val="auto"/>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15</w:t>
    </w:r>
    <w:r>
      <w:rPr>
        <w:rStyle w:val="12"/>
      </w:rPr>
      <w:fldChar w:fldCharType="end"/>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C6C30"/>
    <w:multiLevelType w:val="multilevel"/>
    <w:tmpl w:val="224C6C30"/>
    <w:lvl w:ilvl="0" w:tentative="0">
      <w:start w:val="1"/>
      <w:numFmt w:val="chineseCountingThousand"/>
      <w:pStyle w:val="22"/>
      <w:lvlText w:val="第%1条 "/>
      <w:lvlJc w:val="left"/>
      <w:pPr>
        <w:tabs>
          <w:tab w:val="left" w:pos="1413"/>
        </w:tabs>
        <w:ind w:left="1413" w:hanging="420"/>
      </w:pPr>
      <w:rPr>
        <w:rFonts w:hint="eastAsia" w:ascii="仿宋_GB2312" w:eastAsia="仿宋_GB2312" w:cs="Times New Roman"/>
        <w:b/>
        <w:color w:val="000000"/>
        <w:sz w:val="32"/>
        <w:szCs w:val="32"/>
      </w:rPr>
    </w:lvl>
    <w:lvl w:ilvl="1" w:tentative="0">
      <w:start w:val="1"/>
      <w:numFmt w:val="lowerLetter"/>
      <w:lvlText w:val="%2)"/>
      <w:lvlJc w:val="left"/>
      <w:pPr>
        <w:tabs>
          <w:tab w:val="left" w:pos="556"/>
        </w:tabs>
        <w:ind w:left="556" w:hanging="420"/>
      </w:pPr>
      <w:rPr>
        <w:rFonts w:cs="Times New Roman"/>
      </w:rPr>
    </w:lvl>
    <w:lvl w:ilvl="2" w:tentative="0">
      <w:start w:val="1"/>
      <w:numFmt w:val="lowerRoman"/>
      <w:lvlText w:val="%3."/>
      <w:lvlJc w:val="right"/>
      <w:pPr>
        <w:tabs>
          <w:tab w:val="left" w:pos="976"/>
        </w:tabs>
        <w:ind w:left="976" w:hanging="420"/>
      </w:pPr>
      <w:rPr>
        <w:rFonts w:cs="Times New Roman"/>
      </w:rPr>
    </w:lvl>
    <w:lvl w:ilvl="3" w:tentative="0">
      <w:start w:val="1"/>
      <w:numFmt w:val="decimal"/>
      <w:lvlText w:val="%4."/>
      <w:lvlJc w:val="left"/>
      <w:pPr>
        <w:tabs>
          <w:tab w:val="left" w:pos="1396"/>
        </w:tabs>
        <w:ind w:left="1396" w:hanging="420"/>
      </w:pPr>
      <w:rPr>
        <w:rFonts w:cs="Times New Roman"/>
      </w:rPr>
    </w:lvl>
    <w:lvl w:ilvl="4" w:tentative="0">
      <w:start w:val="1"/>
      <w:numFmt w:val="lowerLetter"/>
      <w:lvlText w:val="%5)"/>
      <w:lvlJc w:val="left"/>
      <w:pPr>
        <w:tabs>
          <w:tab w:val="left" w:pos="1816"/>
        </w:tabs>
        <w:ind w:left="1816" w:hanging="420"/>
      </w:pPr>
      <w:rPr>
        <w:rFonts w:cs="Times New Roman"/>
      </w:rPr>
    </w:lvl>
    <w:lvl w:ilvl="5" w:tentative="0">
      <w:start w:val="1"/>
      <w:numFmt w:val="lowerRoman"/>
      <w:lvlText w:val="%6."/>
      <w:lvlJc w:val="right"/>
      <w:pPr>
        <w:tabs>
          <w:tab w:val="left" w:pos="2236"/>
        </w:tabs>
        <w:ind w:left="2236" w:hanging="420"/>
      </w:pPr>
      <w:rPr>
        <w:rFonts w:cs="Times New Roman"/>
      </w:rPr>
    </w:lvl>
    <w:lvl w:ilvl="6" w:tentative="0">
      <w:start w:val="1"/>
      <w:numFmt w:val="decimal"/>
      <w:lvlText w:val="%7."/>
      <w:lvlJc w:val="left"/>
      <w:pPr>
        <w:tabs>
          <w:tab w:val="left" w:pos="2656"/>
        </w:tabs>
        <w:ind w:left="2656" w:hanging="420"/>
      </w:pPr>
      <w:rPr>
        <w:rFonts w:cs="Times New Roman"/>
      </w:rPr>
    </w:lvl>
    <w:lvl w:ilvl="7" w:tentative="0">
      <w:start w:val="1"/>
      <w:numFmt w:val="lowerLetter"/>
      <w:lvlText w:val="%8)"/>
      <w:lvlJc w:val="left"/>
      <w:pPr>
        <w:tabs>
          <w:tab w:val="left" w:pos="3076"/>
        </w:tabs>
        <w:ind w:left="3076" w:hanging="420"/>
      </w:pPr>
      <w:rPr>
        <w:rFonts w:cs="Times New Roman"/>
      </w:rPr>
    </w:lvl>
    <w:lvl w:ilvl="8" w:tentative="0">
      <w:start w:val="1"/>
      <w:numFmt w:val="lowerRoman"/>
      <w:lvlText w:val="%9."/>
      <w:lvlJc w:val="right"/>
      <w:pPr>
        <w:tabs>
          <w:tab w:val="left" w:pos="3496"/>
        </w:tabs>
        <w:ind w:left="3496" w:hanging="420"/>
      </w:pPr>
      <w:rPr>
        <w:rFonts w:cs="Times New Roman"/>
      </w:rPr>
    </w:lvl>
  </w:abstractNum>
  <w:abstractNum w:abstractNumId="1">
    <w:nsid w:val="471C3A35"/>
    <w:multiLevelType w:val="multilevel"/>
    <w:tmpl w:val="471C3A35"/>
    <w:lvl w:ilvl="0" w:tentative="0">
      <w:start w:val="1"/>
      <w:numFmt w:val="japaneseCounting"/>
      <w:lvlText w:val="第%1章"/>
      <w:lvlJc w:val="left"/>
      <w:pPr>
        <w:tabs>
          <w:tab w:val="left" w:pos="1275"/>
        </w:tabs>
        <w:ind w:left="1275" w:hanging="127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6EF5728C"/>
    <w:multiLevelType w:val="multilevel"/>
    <w:tmpl w:val="6EF5728C"/>
    <w:lvl w:ilvl="0" w:tentative="0">
      <w:start w:val="4"/>
      <w:numFmt w:val="japaneseCounting"/>
      <w:lvlText w:val="第%1章"/>
      <w:lvlJc w:val="left"/>
      <w:pPr>
        <w:tabs>
          <w:tab w:val="left" w:pos="1080"/>
        </w:tabs>
        <w:ind w:left="1080" w:hanging="108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284427"/>
    <w:rsid w:val="00020839"/>
    <w:rsid w:val="00074535"/>
    <w:rsid w:val="000A67BA"/>
    <w:rsid w:val="000B0E89"/>
    <w:rsid w:val="00110C16"/>
    <w:rsid w:val="001234F8"/>
    <w:rsid w:val="00167B14"/>
    <w:rsid w:val="00177940"/>
    <w:rsid w:val="00177C68"/>
    <w:rsid w:val="00194C8D"/>
    <w:rsid w:val="001A18AE"/>
    <w:rsid w:val="001B1AAA"/>
    <w:rsid w:val="001B3B1A"/>
    <w:rsid w:val="001B686A"/>
    <w:rsid w:val="001D4B02"/>
    <w:rsid w:val="001D59DD"/>
    <w:rsid w:val="00205E91"/>
    <w:rsid w:val="00236C7B"/>
    <w:rsid w:val="002535D2"/>
    <w:rsid w:val="002766CF"/>
    <w:rsid w:val="00284427"/>
    <w:rsid w:val="00284FE2"/>
    <w:rsid w:val="00303C7E"/>
    <w:rsid w:val="00307E83"/>
    <w:rsid w:val="00320B47"/>
    <w:rsid w:val="00356C7E"/>
    <w:rsid w:val="003853DF"/>
    <w:rsid w:val="00390871"/>
    <w:rsid w:val="003B0AC3"/>
    <w:rsid w:val="003E5408"/>
    <w:rsid w:val="003E72AF"/>
    <w:rsid w:val="003F125C"/>
    <w:rsid w:val="004504CC"/>
    <w:rsid w:val="004A174C"/>
    <w:rsid w:val="004D0CCE"/>
    <w:rsid w:val="004E2AFE"/>
    <w:rsid w:val="005355E8"/>
    <w:rsid w:val="0053661A"/>
    <w:rsid w:val="00555D15"/>
    <w:rsid w:val="005863F5"/>
    <w:rsid w:val="00593B5C"/>
    <w:rsid w:val="005C59D0"/>
    <w:rsid w:val="00654279"/>
    <w:rsid w:val="006A4F32"/>
    <w:rsid w:val="006A612F"/>
    <w:rsid w:val="006D5840"/>
    <w:rsid w:val="007129EB"/>
    <w:rsid w:val="00751001"/>
    <w:rsid w:val="007511CF"/>
    <w:rsid w:val="00794F63"/>
    <w:rsid w:val="007C617A"/>
    <w:rsid w:val="007F6424"/>
    <w:rsid w:val="008007F3"/>
    <w:rsid w:val="0080659B"/>
    <w:rsid w:val="008218A0"/>
    <w:rsid w:val="00855ECA"/>
    <w:rsid w:val="008B51EB"/>
    <w:rsid w:val="008B580F"/>
    <w:rsid w:val="00983B5A"/>
    <w:rsid w:val="009B5B34"/>
    <w:rsid w:val="009C49AE"/>
    <w:rsid w:val="009D1648"/>
    <w:rsid w:val="009D20A4"/>
    <w:rsid w:val="009D226A"/>
    <w:rsid w:val="009F0AE1"/>
    <w:rsid w:val="00A22A84"/>
    <w:rsid w:val="00A342AF"/>
    <w:rsid w:val="00A41CAE"/>
    <w:rsid w:val="00A45C7E"/>
    <w:rsid w:val="00B37314"/>
    <w:rsid w:val="00B40601"/>
    <w:rsid w:val="00B44AA4"/>
    <w:rsid w:val="00B71480"/>
    <w:rsid w:val="00B727BF"/>
    <w:rsid w:val="00B8582C"/>
    <w:rsid w:val="00BA1586"/>
    <w:rsid w:val="00BA7318"/>
    <w:rsid w:val="00BF75B6"/>
    <w:rsid w:val="00C115FD"/>
    <w:rsid w:val="00C15782"/>
    <w:rsid w:val="00C86849"/>
    <w:rsid w:val="00CD04FB"/>
    <w:rsid w:val="00D025B3"/>
    <w:rsid w:val="00D034EE"/>
    <w:rsid w:val="00D22460"/>
    <w:rsid w:val="00D22987"/>
    <w:rsid w:val="00DA0330"/>
    <w:rsid w:val="00DE47E8"/>
    <w:rsid w:val="00DE67D8"/>
    <w:rsid w:val="00DF3D53"/>
    <w:rsid w:val="00E03FD7"/>
    <w:rsid w:val="00E31082"/>
    <w:rsid w:val="00E63FB5"/>
    <w:rsid w:val="00E7037F"/>
    <w:rsid w:val="00E706D7"/>
    <w:rsid w:val="00EB2ECF"/>
    <w:rsid w:val="00EC0406"/>
    <w:rsid w:val="00F1763E"/>
    <w:rsid w:val="00F4304C"/>
    <w:rsid w:val="00F47F71"/>
    <w:rsid w:val="00F90A10"/>
    <w:rsid w:val="00F911CB"/>
    <w:rsid w:val="00FA0253"/>
    <w:rsid w:val="01F6482F"/>
    <w:rsid w:val="02DE1FDF"/>
    <w:rsid w:val="0823764D"/>
    <w:rsid w:val="0B4F687B"/>
    <w:rsid w:val="0CE0247F"/>
    <w:rsid w:val="0F7A3C9B"/>
    <w:rsid w:val="11522412"/>
    <w:rsid w:val="11B21899"/>
    <w:rsid w:val="1496203B"/>
    <w:rsid w:val="18AF3501"/>
    <w:rsid w:val="1E004E25"/>
    <w:rsid w:val="2B9A7644"/>
    <w:rsid w:val="2C441F4E"/>
    <w:rsid w:val="30A50ECF"/>
    <w:rsid w:val="32FD467B"/>
    <w:rsid w:val="33B95F0D"/>
    <w:rsid w:val="35B40121"/>
    <w:rsid w:val="35EB72E9"/>
    <w:rsid w:val="3A2C2CC1"/>
    <w:rsid w:val="3ABF2629"/>
    <w:rsid w:val="3BC63755"/>
    <w:rsid w:val="3F18424D"/>
    <w:rsid w:val="42AC67BE"/>
    <w:rsid w:val="436C47CA"/>
    <w:rsid w:val="47EB6871"/>
    <w:rsid w:val="4AB9587D"/>
    <w:rsid w:val="4B7D29C0"/>
    <w:rsid w:val="4CED482E"/>
    <w:rsid w:val="62CA20CF"/>
    <w:rsid w:val="66E61E23"/>
    <w:rsid w:val="68FA3AA9"/>
    <w:rsid w:val="6BBD669B"/>
    <w:rsid w:val="6BD80938"/>
    <w:rsid w:val="74207C1C"/>
    <w:rsid w:val="79062A07"/>
    <w:rsid w:val="7A424670"/>
    <w:rsid w:val="7D4E0C4B"/>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qFormat="1" w:uiPriority="99" w:semiHidden="0"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qFormat="1" w:uiPriority="99" w:semiHidden="0"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5"/>
    <w:qFormat/>
    <w:uiPriority w:val="99"/>
    <w:pPr>
      <w:adjustRightInd w:val="0"/>
      <w:snapToGrid w:val="0"/>
      <w:spacing w:beforeLines="30" w:afterLines="30" w:line="600" w:lineRule="exact"/>
      <w:ind w:right="28"/>
      <w:jc w:val="center"/>
      <w:outlineLvl w:val="1"/>
    </w:pPr>
    <w:rPr>
      <w:rFonts w:ascii="黑体" w:eastAsia="黑体"/>
      <w:bCs/>
      <w:kern w:val="0"/>
      <w:sz w:val="32"/>
      <w:szCs w:val="36"/>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3">
    <w:name w:val="annotation text"/>
    <w:basedOn w:val="1"/>
    <w:link w:val="16"/>
    <w:qFormat/>
    <w:uiPriority w:val="99"/>
    <w:pPr>
      <w:jc w:val="left"/>
    </w:pPr>
  </w:style>
  <w:style w:type="paragraph" w:styleId="4">
    <w:name w:val="Balloon Text"/>
    <w:basedOn w:val="1"/>
    <w:link w:val="18"/>
    <w:qFormat/>
    <w:uiPriority w:val="99"/>
    <w:rPr>
      <w:sz w:val="18"/>
      <w:szCs w:val="18"/>
    </w:rPr>
  </w:style>
  <w:style w:type="paragraph" w:styleId="5">
    <w:name w:val="footer"/>
    <w:basedOn w:val="1"/>
    <w:link w:val="19"/>
    <w:qFormat/>
    <w:uiPriority w:val="99"/>
    <w:pPr>
      <w:tabs>
        <w:tab w:val="center" w:pos="4153"/>
        <w:tab w:val="right" w:pos="8306"/>
      </w:tabs>
      <w:snapToGrid w:val="0"/>
      <w:jc w:val="left"/>
    </w:pPr>
    <w:rPr>
      <w:sz w:val="18"/>
      <w:szCs w:val="18"/>
    </w:rPr>
  </w:style>
  <w:style w:type="paragraph" w:styleId="6">
    <w:name w:val="header"/>
    <w:basedOn w:val="1"/>
    <w:link w:val="20"/>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30"/>
    <w:unhideWhenUsed/>
    <w:qFormat/>
    <w:locked/>
    <w:uiPriority w:val="99"/>
    <w:pPr>
      <w:snapToGrid w:val="0"/>
      <w:jc w:val="left"/>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paragraph" w:styleId="9">
    <w:name w:val="annotation subject"/>
    <w:basedOn w:val="3"/>
    <w:next w:val="3"/>
    <w:link w:val="17"/>
    <w:semiHidden/>
    <w:qFormat/>
    <w:uiPriority w:val="99"/>
    <w:rPr>
      <w:b/>
      <w:bCs/>
    </w:rPr>
  </w:style>
  <w:style w:type="character" w:styleId="12">
    <w:name w:val="page number"/>
    <w:basedOn w:val="11"/>
    <w:qFormat/>
    <w:uiPriority w:val="99"/>
    <w:rPr>
      <w:rFonts w:cs="Times New Roman"/>
    </w:rPr>
  </w:style>
  <w:style w:type="character" w:styleId="13">
    <w:name w:val="annotation reference"/>
    <w:basedOn w:val="11"/>
    <w:qFormat/>
    <w:uiPriority w:val="99"/>
    <w:rPr>
      <w:rFonts w:cs="Times New Roman"/>
      <w:sz w:val="21"/>
    </w:rPr>
  </w:style>
  <w:style w:type="character" w:styleId="14">
    <w:name w:val="footnote reference"/>
    <w:basedOn w:val="11"/>
    <w:unhideWhenUsed/>
    <w:qFormat/>
    <w:locked/>
    <w:uiPriority w:val="99"/>
    <w:rPr>
      <w:vertAlign w:val="superscript"/>
    </w:rPr>
  </w:style>
  <w:style w:type="character" w:customStyle="1" w:styleId="15">
    <w:name w:val="标题 2 Char"/>
    <w:basedOn w:val="11"/>
    <w:link w:val="2"/>
    <w:qFormat/>
    <w:locked/>
    <w:uiPriority w:val="99"/>
    <w:rPr>
      <w:rFonts w:ascii="黑体" w:hAnsi="Times New Roman" w:eastAsia="黑体" w:cs="Times New Roman"/>
      <w:bCs/>
      <w:kern w:val="0"/>
      <w:sz w:val="36"/>
      <w:szCs w:val="36"/>
    </w:rPr>
  </w:style>
  <w:style w:type="character" w:customStyle="1" w:styleId="16">
    <w:name w:val="批注文字 Char"/>
    <w:basedOn w:val="11"/>
    <w:link w:val="3"/>
    <w:qFormat/>
    <w:locked/>
    <w:uiPriority w:val="99"/>
    <w:rPr>
      <w:rFonts w:ascii="Times New Roman" w:hAnsi="Times New Roman" w:eastAsia="宋体" w:cs="Times New Roman"/>
      <w:sz w:val="24"/>
      <w:szCs w:val="24"/>
    </w:rPr>
  </w:style>
  <w:style w:type="character" w:customStyle="1" w:styleId="17">
    <w:name w:val="批注主题 Char"/>
    <w:basedOn w:val="16"/>
    <w:link w:val="9"/>
    <w:semiHidden/>
    <w:qFormat/>
    <w:locked/>
    <w:uiPriority w:val="99"/>
    <w:rPr>
      <w:b/>
      <w:bCs/>
    </w:rPr>
  </w:style>
  <w:style w:type="character" w:customStyle="1" w:styleId="18">
    <w:name w:val="批注框文本 Char"/>
    <w:basedOn w:val="11"/>
    <w:link w:val="4"/>
    <w:qFormat/>
    <w:locked/>
    <w:uiPriority w:val="99"/>
    <w:rPr>
      <w:rFonts w:ascii="Times New Roman" w:hAnsi="Times New Roman" w:eastAsia="宋体" w:cs="Times New Roman"/>
      <w:sz w:val="18"/>
      <w:szCs w:val="18"/>
    </w:rPr>
  </w:style>
  <w:style w:type="character" w:customStyle="1" w:styleId="19">
    <w:name w:val="页脚 Char"/>
    <w:basedOn w:val="11"/>
    <w:link w:val="5"/>
    <w:qFormat/>
    <w:locked/>
    <w:uiPriority w:val="99"/>
    <w:rPr>
      <w:rFonts w:ascii="Times New Roman" w:hAnsi="Times New Roman" w:eastAsia="宋体" w:cs="Times New Roman"/>
      <w:sz w:val="18"/>
      <w:szCs w:val="18"/>
    </w:rPr>
  </w:style>
  <w:style w:type="character" w:customStyle="1" w:styleId="20">
    <w:name w:val="页眉 Char"/>
    <w:basedOn w:val="11"/>
    <w:link w:val="6"/>
    <w:semiHidden/>
    <w:qFormat/>
    <w:locked/>
    <w:uiPriority w:val="99"/>
    <w:rPr>
      <w:rFonts w:ascii="Times New Roman" w:hAnsi="Times New Roman" w:eastAsia="宋体" w:cs="Times New Roman"/>
      <w:sz w:val="18"/>
      <w:szCs w:val="18"/>
    </w:rPr>
  </w:style>
  <w:style w:type="paragraph" w:customStyle="1" w:styleId="21">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正文条款"/>
    <w:basedOn w:val="1"/>
    <w:qFormat/>
    <w:uiPriority w:val="99"/>
    <w:pPr>
      <w:numPr>
        <w:ilvl w:val="0"/>
        <w:numId w:val="1"/>
      </w:numPr>
      <w:tabs>
        <w:tab w:val="left" w:pos="1838"/>
      </w:tabs>
      <w:adjustRightInd w:val="0"/>
      <w:snapToGrid w:val="0"/>
      <w:spacing w:line="550" w:lineRule="exact"/>
    </w:pPr>
    <w:rPr>
      <w:rFonts w:ascii="仿宋_GB2312" w:eastAsia="仿宋_GB2312"/>
      <w:color w:val="000000"/>
      <w:sz w:val="30"/>
      <w:szCs w:val="32"/>
    </w:rPr>
  </w:style>
  <w:style w:type="paragraph" w:customStyle="1" w:styleId="23">
    <w:name w:val="正文格式"/>
    <w:basedOn w:val="1"/>
    <w:link w:val="25"/>
    <w:qFormat/>
    <w:uiPriority w:val="99"/>
    <w:pPr>
      <w:adjustRightInd w:val="0"/>
      <w:snapToGrid w:val="0"/>
      <w:spacing w:line="560" w:lineRule="exact"/>
      <w:ind w:firstLine="600" w:firstLineChars="200"/>
    </w:pPr>
    <w:rPr>
      <w:rFonts w:eastAsia="仿宋_GB2312"/>
      <w:kern w:val="0"/>
      <w:sz w:val="30"/>
      <w:szCs w:val="20"/>
    </w:rPr>
  </w:style>
  <w:style w:type="paragraph" w:customStyle="1" w:styleId="24">
    <w:name w:val="抬头称呼"/>
    <w:basedOn w:val="1"/>
    <w:qFormat/>
    <w:uiPriority w:val="99"/>
    <w:pPr>
      <w:tabs>
        <w:tab w:val="left" w:pos="4860"/>
      </w:tabs>
      <w:adjustRightInd w:val="0"/>
      <w:snapToGrid w:val="0"/>
      <w:spacing w:line="600" w:lineRule="exact"/>
    </w:pPr>
    <w:rPr>
      <w:rFonts w:ascii="仿宋_GB2312" w:eastAsia="仿宋_GB2312"/>
      <w:sz w:val="32"/>
      <w:szCs w:val="32"/>
    </w:rPr>
  </w:style>
  <w:style w:type="character" w:customStyle="1" w:styleId="25">
    <w:name w:val="正文格式 Char"/>
    <w:link w:val="23"/>
    <w:qFormat/>
    <w:locked/>
    <w:uiPriority w:val="99"/>
    <w:rPr>
      <w:rFonts w:ascii="Times New Roman" w:hAnsi="Times New Roman" w:eastAsia="仿宋_GB2312"/>
      <w:kern w:val="0"/>
      <w:sz w:val="30"/>
    </w:rPr>
  </w:style>
  <w:style w:type="character" w:customStyle="1" w:styleId="26">
    <w:name w:val="apple-converted-space"/>
    <w:basedOn w:val="11"/>
    <w:qFormat/>
    <w:uiPriority w:val="99"/>
    <w:rPr>
      <w:rFonts w:cs="Times New Roman"/>
    </w:rPr>
  </w:style>
  <w:style w:type="paragraph" w:customStyle="1" w:styleId="27">
    <w:name w:val="Revision1"/>
    <w:hidden/>
    <w:semiHidden/>
    <w:qFormat/>
    <w:uiPriority w:val="99"/>
    <w:rPr>
      <w:rFonts w:ascii="Times New Roman" w:hAnsi="Times New Roman" w:eastAsia="宋体" w:cs="Times New Roman"/>
      <w:kern w:val="2"/>
      <w:sz w:val="21"/>
      <w:szCs w:val="24"/>
      <w:lang w:val="en-US" w:eastAsia="zh-CN" w:bidi="ar-SA"/>
    </w:rPr>
  </w:style>
  <w:style w:type="character" w:customStyle="1" w:styleId="28">
    <w:name w:val="页眉 Char Char"/>
    <w:basedOn w:val="11"/>
    <w:qFormat/>
    <w:uiPriority w:val="99"/>
    <w:rPr>
      <w:rFonts w:cs="Times New Roman"/>
      <w:kern w:val="2"/>
      <w:sz w:val="18"/>
      <w:szCs w:val="18"/>
    </w:rPr>
  </w:style>
  <w:style w:type="paragraph" w:customStyle="1" w:styleId="29">
    <w:name w:val="List Paragraph1"/>
    <w:basedOn w:val="1"/>
    <w:qFormat/>
    <w:uiPriority w:val="99"/>
    <w:pPr>
      <w:ind w:firstLine="420" w:firstLineChars="200"/>
    </w:pPr>
  </w:style>
  <w:style w:type="character" w:customStyle="1" w:styleId="30">
    <w:name w:val="脚注文本 Char"/>
    <w:basedOn w:val="11"/>
    <w:link w:val="7"/>
    <w:semiHidden/>
    <w:qFormat/>
    <w:uiPriority w:val="99"/>
    <w:rPr>
      <w:rFonts w:ascii="Times New Roman" w:hAnsi="Times New Roman"/>
      <w:sz w:val="18"/>
      <w:szCs w:val="18"/>
    </w:rPr>
  </w:style>
  <w:style w:type="paragraph" w:customStyle="1" w:styleId="31">
    <w:name w:val="正文文本 (2)1"/>
    <w:basedOn w:val="1"/>
    <w:qFormat/>
    <w:uiPriority w:val="99"/>
    <w:pPr>
      <w:shd w:val="clear" w:color="auto" w:fill="FFFFFF"/>
      <w:spacing w:before="180" w:after="660" w:line="240" w:lineRule="atLeast"/>
      <w:jc w:val="right"/>
    </w:pPr>
    <w:rPr>
      <w:rFonts w:ascii="MingLiU" w:hAnsi="MingLiU_HKSCS" w:eastAsia="MingLiU" w:cs="MingLiU"/>
      <w:spacing w:val="20"/>
      <w:kern w:val="0"/>
      <w:sz w:val="15"/>
      <w:szCs w:val="15"/>
    </w:rPr>
  </w:style>
  <w:style w:type="character" w:customStyle="1" w:styleId="32">
    <w:name w:val="正文文本 (2) + 7 pt"/>
    <w:qFormat/>
    <w:uiPriority w:val="99"/>
    <w:rPr>
      <w:rFonts w:ascii="MingLiU" w:eastAsia="MingLiU" w:cs="MingLiU"/>
      <w:spacing w:val="30"/>
      <w:sz w:val="14"/>
      <w:szCs w:val="14"/>
      <w:u w:val="none"/>
      <w:shd w:val="clear" w:color="auto" w:fill="FFFFFF"/>
    </w:rPr>
  </w:style>
  <w:style w:type="paragraph" w:customStyle="1" w:styleId="33">
    <w:name w:val="img"/>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6F3797-EE4C-47AF-8F45-84E53192940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19</Pages>
  <Words>1575</Words>
  <Characters>8981</Characters>
  <Lines>74</Lines>
  <Paragraphs>21</Paragraphs>
  <TotalTime>127</TotalTime>
  <ScaleCrop>false</ScaleCrop>
  <LinksUpToDate>false</LinksUpToDate>
  <CharactersWithSpaces>10535</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2019-04-08T10:47:00Z</dcterms:created>
  <dc:creator>user</dc:creator>
  <cp:lastModifiedBy>ylk1</cp:lastModifiedBy>
  <cp:lastPrinted>2019-05-14T13:18:00Z</cp:lastPrinted>
  <dcterms:modified xsi:type="dcterms:W3CDTF">2019-05-29T08:39:06Z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