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安徽省医疗保障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基金管理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领域轻微违法行为依法不予行政处罚清单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21"/>
          <w:szCs w:val="21"/>
        </w:rPr>
      </w:pPr>
    </w:p>
    <w:tbl>
      <w:tblPr>
        <w:tblStyle w:val="5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25"/>
        <w:gridCol w:w="6713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轻微违法行为种类</w:t>
            </w:r>
          </w:p>
        </w:tc>
        <w:tc>
          <w:tcPr>
            <w:tcW w:w="67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行政处罚条款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不予行政处罚适用条件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个人以骗取医疗保障基金为目的，将本人的医疗保障凭证交由他人冒名使用，造成医疗保障基金损失的。</w:t>
            </w:r>
          </w:p>
        </w:tc>
        <w:tc>
          <w:tcPr>
            <w:tcW w:w="671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eastAsia="zh-CN"/>
              </w:rPr>
              <w:t>《医疗保障基金使用监督管理条例》</w:t>
            </w: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第四十一条：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个人有下列情形之一的，由医疗保障行政部门责令改正；造成医疗保障基金损失的，责令退回；属于参保人员的，暂停其医疗费用联网结算3个月至12个月：（一）将本人的医疗保障凭证交由他人冒名使用；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（二）重复享受医疗保障待遇；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（三）利用享受医疗保障待遇的机会转卖药品，接受返还现金、实物或者获得其他非法利益。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人以骗取医疗保障基金为目的，实施了前款规定行为之一，造成医疗保障基金损失的；或者使用他人医疗保障凭证冒名就医、购药的；或者通过伪造、变造、隐匿、涂改、销毁医学文书、医学证明、会计凭证、电子信息等有关资料或者虚构医药服务项目等方式，骗取医疗保障基金支出的，除依照前款规定处理外，还应当由医疗保障行政部门处骗取金额2倍以上5倍以下的罚款。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同时符合以下条件：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违法行为涉及医保基金结算总金额1000元以下的；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积极配合调查，提供证据材料的；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及时改正并在责令改正期限内足额退还涉案医保基金，没有造成医保基金实际损失的；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未引发举报投诉、媒体负面报道等严重负面舆论后果的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;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个人属于初次实施相关违法行为。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个人以骗取医疗保障基金为目的，重复享受医疗保障待遇，造成医疗保障基金损失的。</w:t>
            </w:r>
          </w:p>
        </w:tc>
        <w:tc>
          <w:tcPr>
            <w:tcW w:w="6713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3555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57712A7"/>
    <w:rsid w:val="47E60EBC"/>
    <w:rsid w:val="957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2024-01-09T15:15:00Z</dcterms:created>
  <dc:creator>greatwall</dc:creator>
  <cp:lastModifiedBy>greatwall</cp:lastModifiedBy>
  <dcterms:modified xsi:type="dcterms:W3CDTF">2024-01-09T15:17:17Z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