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37932">
      <w:pPr>
        <w:rPr>
          <w:rFonts w:hint="eastAsia" w:cs="Times New Roman" w:asciiTheme="minorEastAsia" w:hAnsiTheme="minorEastAsia"/>
          <w:b/>
          <w:bCs/>
          <w:color w:val="000000"/>
          <w:sz w:val="36"/>
          <w:szCs w:val="36"/>
          <w:shd w:val="clear" w:color="auto" w:fill="FFFFFF"/>
        </w:rPr>
      </w:pPr>
    </w:p>
    <w:p w14:paraId="24900058">
      <w:pPr>
        <w:jc w:val="center"/>
        <w:rPr>
          <w:rFonts w:hint="eastAsia" w:cs="Times New Roman" w:asciiTheme="minorEastAsia" w:hAnsiTheme="minorEastAsia"/>
          <w:b/>
          <w:bCs/>
          <w:color w:val="FF0000"/>
          <w:sz w:val="42"/>
          <w:szCs w:val="42"/>
          <w:shd w:val="clear" w:color="auto" w:fill="FFFFFF"/>
        </w:rPr>
      </w:pPr>
      <w:r>
        <w:rPr>
          <w:rFonts w:hint="eastAsia" w:cs="Times New Roman" w:asciiTheme="minorEastAsia" w:hAnsiTheme="minorEastAsia"/>
          <w:b/>
          <w:bCs/>
          <w:color w:val="FF0000"/>
          <w:sz w:val="42"/>
          <w:szCs w:val="42"/>
          <w:shd w:val="clear" w:color="auto" w:fill="FFFFFF"/>
        </w:rPr>
        <w:tab/>
      </w:r>
    </w:p>
    <w:p w14:paraId="7A9D92F5">
      <w:pPr>
        <w:jc w:val="center"/>
        <w:rPr>
          <w:rFonts w:hint="eastAsia" w:cs="Times New Roman" w:asciiTheme="minorEastAsia" w:hAnsiTheme="minorEastAsia"/>
          <w:b/>
          <w:bCs/>
          <w:color w:val="auto"/>
          <w:sz w:val="42"/>
          <w:szCs w:val="42"/>
          <w:shd w:val="clear" w:color="auto" w:fill="FFFFFF"/>
        </w:rPr>
      </w:pPr>
      <w:r>
        <w:rPr>
          <w:rFonts w:hint="eastAsia" w:cs="Times New Roman" w:asciiTheme="minorEastAsia" w:hAnsiTheme="minorEastAsia"/>
          <w:b/>
          <w:bCs/>
          <w:color w:val="auto"/>
          <w:sz w:val="42"/>
          <w:szCs w:val="42"/>
          <w:shd w:val="clear" w:color="auto" w:fill="FFFFFF"/>
        </w:rPr>
        <w:t>宿州市医保反欺诈大数据应用监管建设及服务项目审计</w:t>
      </w:r>
    </w:p>
    <w:p w14:paraId="1BB01CBA">
      <w:pPr>
        <w:jc w:val="center"/>
        <w:rPr>
          <w:rFonts w:hint="eastAsia" w:cs="Times New Roman" w:asciiTheme="minorEastAsia" w:hAnsiTheme="minorEastAsia"/>
          <w:b/>
          <w:bCs/>
          <w:color w:val="000000"/>
          <w:sz w:val="48"/>
          <w:szCs w:val="48"/>
          <w:shd w:val="clear" w:color="auto" w:fill="FFFFFF"/>
        </w:rPr>
      </w:pPr>
    </w:p>
    <w:p w14:paraId="4E4AD8F8">
      <w:pPr>
        <w:jc w:val="center"/>
        <w:rPr>
          <w:rFonts w:hint="eastAsia" w:cs="Times New Roman" w:asciiTheme="minorEastAsia" w:hAnsiTheme="minorEastAsia"/>
          <w:b/>
          <w:bCs/>
          <w:color w:val="000000"/>
          <w:sz w:val="48"/>
          <w:szCs w:val="48"/>
          <w:shd w:val="clear" w:color="auto" w:fill="FFFFFF"/>
        </w:rPr>
      </w:pPr>
    </w:p>
    <w:p w14:paraId="2E064A0D">
      <w:pPr>
        <w:jc w:val="center"/>
        <w:rPr>
          <w:rFonts w:hint="eastAsia" w:cs="Times New Roman" w:asciiTheme="minorEastAsia" w:hAnsiTheme="minorEastAsia"/>
          <w:b/>
          <w:bCs/>
          <w:color w:val="000000"/>
          <w:sz w:val="48"/>
          <w:szCs w:val="48"/>
          <w:shd w:val="clear" w:color="auto" w:fill="FFFFFF"/>
        </w:rPr>
      </w:pPr>
    </w:p>
    <w:p w14:paraId="2B297E2D">
      <w:pPr>
        <w:jc w:val="center"/>
        <w:rPr>
          <w:rFonts w:hint="eastAsia" w:cs="Times New Roman" w:asciiTheme="minorEastAsia" w:hAnsiTheme="minorEastAsia"/>
          <w:b/>
          <w:bCs/>
          <w:color w:val="000000"/>
          <w:sz w:val="48"/>
          <w:szCs w:val="48"/>
          <w:shd w:val="clear" w:color="auto" w:fill="FFFFFF"/>
        </w:rPr>
      </w:pPr>
    </w:p>
    <w:p w14:paraId="36607835">
      <w:pPr>
        <w:jc w:val="center"/>
        <w:rPr>
          <w:rFonts w:hint="eastAsia" w:cs="Times New Roman" w:asciiTheme="minorEastAsia" w:hAnsiTheme="minorEastAsia"/>
          <w:b/>
          <w:bCs/>
          <w:color w:val="000000"/>
          <w:sz w:val="48"/>
          <w:szCs w:val="48"/>
          <w:shd w:val="clear" w:color="auto" w:fill="FFFFFF"/>
        </w:rPr>
      </w:pPr>
    </w:p>
    <w:p w14:paraId="28729449">
      <w:pPr>
        <w:jc w:val="center"/>
        <w:rPr>
          <w:rFonts w:hint="eastAsia" w:cs="Times New Roman" w:asciiTheme="minorEastAsia" w:hAnsiTheme="minorEastAsia"/>
          <w:b/>
          <w:bCs/>
          <w:color w:val="000000"/>
          <w:sz w:val="52"/>
          <w:szCs w:val="52"/>
          <w:shd w:val="clear" w:color="auto" w:fill="FFFFFF"/>
        </w:rPr>
      </w:pPr>
      <w:r>
        <w:rPr>
          <w:rFonts w:hint="eastAsia" w:cs="Times New Roman" w:asciiTheme="minorEastAsia" w:hAnsiTheme="minorEastAsia"/>
          <w:b/>
          <w:bCs/>
          <w:color w:val="000000"/>
          <w:sz w:val="52"/>
          <w:szCs w:val="52"/>
          <w:shd w:val="clear" w:color="auto" w:fill="FFFFFF"/>
        </w:rPr>
        <w:t>采购需求</w:t>
      </w:r>
    </w:p>
    <w:p w14:paraId="4EAF8777">
      <w:pPr>
        <w:jc w:val="center"/>
        <w:rPr>
          <w:rFonts w:hint="eastAsia" w:cs="Times New Roman" w:asciiTheme="minorEastAsia" w:hAnsiTheme="minorEastAsia"/>
          <w:b/>
          <w:bCs/>
          <w:color w:val="000000"/>
          <w:sz w:val="48"/>
          <w:szCs w:val="48"/>
          <w:shd w:val="clear" w:color="auto" w:fill="FFFFFF"/>
        </w:rPr>
      </w:pPr>
    </w:p>
    <w:p w14:paraId="37A125DC">
      <w:pPr>
        <w:jc w:val="center"/>
        <w:rPr>
          <w:rFonts w:hint="eastAsia" w:cs="Times New Roman" w:asciiTheme="minorEastAsia" w:hAnsiTheme="minorEastAsia"/>
          <w:b/>
          <w:bCs/>
          <w:color w:val="000000"/>
          <w:sz w:val="30"/>
          <w:szCs w:val="30"/>
          <w:shd w:val="clear" w:color="auto" w:fill="FFFFFF"/>
        </w:rPr>
      </w:pPr>
    </w:p>
    <w:p w14:paraId="6E76A715">
      <w:pPr>
        <w:jc w:val="center"/>
        <w:rPr>
          <w:rFonts w:hint="eastAsia" w:cs="Times New Roman" w:asciiTheme="minorEastAsia" w:hAnsiTheme="minorEastAsia"/>
          <w:b/>
          <w:bCs/>
          <w:color w:val="000000"/>
          <w:sz w:val="30"/>
          <w:szCs w:val="30"/>
          <w:shd w:val="clear" w:color="auto" w:fill="FFFFFF"/>
        </w:rPr>
      </w:pPr>
    </w:p>
    <w:p w14:paraId="58F4D33A">
      <w:pPr>
        <w:jc w:val="center"/>
        <w:rPr>
          <w:rFonts w:hint="eastAsia" w:cs="Times New Roman" w:asciiTheme="minorEastAsia" w:hAnsiTheme="minorEastAsia"/>
          <w:b/>
          <w:bCs/>
          <w:color w:val="000000"/>
          <w:sz w:val="30"/>
          <w:szCs w:val="30"/>
          <w:shd w:val="clear" w:color="auto" w:fill="FFFFFF"/>
        </w:rPr>
      </w:pPr>
    </w:p>
    <w:p w14:paraId="435848FD">
      <w:pPr>
        <w:jc w:val="center"/>
        <w:rPr>
          <w:rFonts w:hint="eastAsia" w:cs="Times New Roman" w:asciiTheme="minorEastAsia" w:hAnsiTheme="minorEastAsia"/>
          <w:b/>
          <w:bCs/>
          <w:color w:val="000000"/>
          <w:sz w:val="30"/>
          <w:szCs w:val="30"/>
          <w:shd w:val="clear" w:color="auto" w:fill="FFFFFF"/>
        </w:rPr>
      </w:pPr>
    </w:p>
    <w:p w14:paraId="2CF4E17C">
      <w:pPr>
        <w:jc w:val="center"/>
        <w:rPr>
          <w:rFonts w:hint="eastAsia" w:cs="Times New Roman" w:asciiTheme="minorEastAsia" w:hAnsiTheme="minorEastAsia"/>
          <w:b/>
          <w:bCs/>
          <w:color w:val="000000"/>
          <w:sz w:val="30"/>
          <w:szCs w:val="30"/>
          <w:shd w:val="clear" w:color="auto" w:fill="FFFFFF"/>
        </w:rPr>
      </w:pPr>
    </w:p>
    <w:p w14:paraId="497B2824">
      <w:pPr>
        <w:jc w:val="center"/>
        <w:rPr>
          <w:rFonts w:hint="eastAsia" w:cs="Times New Roman" w:asciiTheme="minorEastAsia" w:hAnsiTheme="minorEastAsia"/>
          <w:b/>
          <w:bCs/>
          <w:color w:val="000000"/>
          <w:sz w:val="30"/>
          <w:szCs w:val="30"/>
          <w:shd w:val="clear" w:color="auto" w:fill="FFFFFF"/>
        </w:rPr>
      </w:pPr>
    </w:p>
    <w:p w14:paraId="14BFBB9B">
      <w:pPr>
        <w:jc w:val="center"/>
        <w:rPr>
          <w:rFonts w:hint="eastAsia" w:cs="Times New Roman" w:asciiTheme="minorEastAsia" w:hAnsiTheme="minorEastAsia"/>
          <w:b/>
          <w:bCs/>
          <w:color w:val="000000"/>
          <w:sz w:val="36"/>
          <w:szCs w:val="36"/>
          <w:shd w:val="clear" w:color="auto" w:fill="FFFFFF"/>
        </w:rPr>
      </w:pPr>
      <w:r>
        <w:rPr>
          <w:rFonts w:hint="eastAsia" w:cs="Times New Roman" w:asciiTheme="minorEastAsia" w:hAnsiTheme="minorEastAsia"/>
          <w:b/>
          <w:bCs/>
          <w:color w:val="000000"/>
          <w:sz w:val="36"/>
          <w:szCs w:val="36"/>
          <w:shd w:val="clear" w:color="auto" w:fill="FFFFFF"/>
        </w:rPr>
        <w:t>二〇二四年十二月</w:t>
      </w:r>
    </w:p>
    <w:p w14:paraId="245ABA4C">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rPr>
      </w:pPr>
    </w:p>
    <w:p w14:paraId="1A8CEA93">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rPr>
      </w:pPr>
      <w:r>
        <w:rPr>
          <w:rFonts w:hint="eastAsia" w:asciiTheme="minorEastAsia" w:hAnsiTheme="minorEastAsia"/>
        </w:rPr>
        <w:t>一、项目名称</w:t>
      </w:r>
    </w:p>
    <w:p w14:paraId="146733E6">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b w:val="0"/>
          <w:bCs w:val="0"/>
          <w:sz w:val="24"/>
          <w:szCs w:val="40"/>
        </w:rPr>
      </w:pPr>
      <w:r>
        <w:rPr>
          <w:rFonts w:hint="eastAsia" w:asciiTheme="minorEastAsia" w:hAnsiTheme="minorEastAsia"/>
          <w:b w:val="0"/>
          <w:bCs w:val="0"/>
          <w:sz w:val="24"/>
          <w:szCs w:val="40"/>
        </w:rPr>
        <w:t>宿州市医保反欺诈大数据应用监管建设及服务项目审计</w:t>
      </w:r>
    </w:p>
    <w:p w14:paraId="17016793">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rPr>
      </w:pPr>
      <w:r>
        <w:rPr>
          <w:rFonts w:asciiTheme="minorEastAsia" w:hAnsiTheme="minorEastAsia"/>
        </w:rPr>
        <w:t>二、项目概况与招标范围</w:t>
      </w:r>
    </w:p>
    <w:p w14:paraId="2BEF38D6">
      <w:pPr>
        <w:spacing w:line="360" w:lineRule="auto"/>
        <w:ind w:firstLine="482" w:firstLineChars="200"/>
        <w:jc w:val="left"/>
        <w:rPr>
          <w:rFonts w:hint="eastAsia" w:cs="宋体" w:asciiTheme="minorEastAsia" w:hAnsiTheme="minorEastAsia"/>
          <w:sz w:val="24"/>
          <w:szCs w:val="24"/>
          <w:u w:val="single"/>
        </w:rPr>
      </w:pPr>
      <w:r>
        <w:rPr>
          <w:rFonts w:cs="宋体" w:asciiTheme="minorEastAsia" w:hAnsiTheme="minorEastAsia"/>
          <w:b/>
          <w:bCs/>
          <w:sz w:val="24"/>
          <w:szCs w:val="24"/>
        </w:rPr>
        <w:t>1、实施地点：</w:t>
      </w:r>
      <w:r>
        <w:rPr>
          <w:rFonts w:hint="eastAsia" w:cs="宋体" w:asciiTheme="minorEastAsia" w:hAnsiTheme="minorEastAsia"/>
          <w:sz w:val="24"/>
          <w:szCs w:val="24"/>
          <w:u w:val="single"/>
        </w:rPr>
        <w:t>宿州市。</w:t>
      </w:r>
    </w:p>
    <w:p w14:paraId="50E54835">
      <w:pPr>
        <w:widowControl/>
        <w:spacing w:line="360" w:lineRule="auto"/>
        <w:ind w:firstLine="482" w:firstLineChars="200"/>
        <w:jc w:val="left"/>
        <w:rPr>
          <w:rFonts w:hint="eastAsia" w:asciiTheme="minorEastAsia" w:hAnsiTheme="minorEastAsia" w:eastAsiaTheme="minorEastAsia" w:cstheme="minorBidi"/>
          <w:b w:val="0"/>
          <w:bCs w:val="0"/>
          <w:kern w:val="44"/>
          <w:sz w:val="24"/>
          <w:szCs w:val="40"/>
          <w:lang w:val="en-US" w:eastAsia="zh-CN" w:bidi="ar-SA"/>
        </w:rPr>
      </w:pPr>
      <w:r>
        <w:rPr>
          <w:rFonts w:asciiTheme="minorEastAsia" w:hAnsiTheme="minorEastAsia"/>
          <w:b/>
          <w:bCs/>
          <w:sz w:val="24"/>
          <w:szCs w:val="24"/>
        </w:rPr>
        <w:t>2、建设</w:t>
      </w:r>
      <w:r>
        <w:rPr>
          <w:rFonts w:hint="eastAsia" w:asciiTheme="minorEastAsia" w:hAnsiTheme="minorEastAsia"/>
          <w:b/>
          <w:bCs/>
          <w:sz w:val="24"/>
          <w:szCs w:val="24"/>
        </w:rPr>
        <w:t>内容</w:t>
      </w:r>
      <w:r>
        <w:rPr>
          <w:rFonts w:asciiTheme="minorEastAsia" w:hAnsiTheme="minorEastAsia"/>
          <w:b/>
          <w:bCs/>
          <w:sz w:val="24"/>
          <w:szCs w:val="24"/>
        </w:rPr>
        <w:t>：</w:t>
      </w:r>
      <w:r>
        <w:rPr>
          <w:rFonts w:hint="eastAsia" w:asciiTheme="minorEastAsia" w:hAnsiTheme="minorEastAsia" w:eastAsiaTheme="minorEastAsia" w:cstheme="minorBidi"/>
          <w:b w:val="0"/>
          <w:bCs w:val="0"/>
          <w:kern w:val="44"/>
          <w:sz w:val="24"/>
          <w:szCs w:val="40"/>
          <w:lang w:val="en-US" w:eastAsia="zh-CN" w:bidi="ar-SA"/>
        </w:rPr>
        <w:t>宿州市医保反欺诈大数据应用监管建设及服务项目主要建设内容包括构建反欺诈数据监测专区，实现安徽省国家医保信息平台宿州市全量数据访问权限，实现数据共享；与国家医保信息平台反欺诈数据监测专区实现业务协同，数据协同；与国家医保信息平台反欺诈数据监测专区实现业务协同，数据协同;实现对全量业务数据的抽取、清洗和治理；2.构建反欺诈分析模型，聚焦药店数据、异地就医、DIP监管等领域，根据以往发现的骗保案例，提炼总结出需要重点监控的方向，并进行针对性大数据模型搭建、参数校验等，通过线索核查的方式，对模型进行反馈验证和优化训练，确保模型的精准性、适用性；3.构建指标监测能力体系，针对各项重点领域展开监测，包括重点医药机构、重点参保人群、重点业务场景、重点违规行为等，实现对医保海量业务数据监测筛查，缩小可疑数据范围。包括参保人员监测、诊疗行为监测。4.数据治理开发，构建医保数据资源池，将原始医保基础、服务、经办、管理数据通过数据汇聚整合形成医保数据资源池，解决数据分散、数据交换及分析统计数据源头问题。5.云平台相关的扩容。</w:t>
      </w:r>
    </w:p>
    <w:p w14:paraId="07060DE0">
      <w:pPr>
        <w:widowControl/>
        <w:spacing w:line="360" w:lineRule="auto"/>
        <w:ind w:firstLine="482" w:firstLineChars="200"/>
        <w:jc w:val="left"/>
        <w:rPr>
          <w:rFonts w:hint="eastAsia" w:cs="宋体" w:asciiTheme="minorEastAsia" w:hAnsiTheme="minorEastAsia"/>
          <w:b w:val="0"/>
          <w:bCs w:val="0"/>
          <w:sz w:val="24"/>
          <w:szCs w:val="24"/>
          <w:u w:val="single"/>
        </w:rPr>
      </w:pPr>
      <w:r>
        <w:rPr>
          <w:rFonts w:cs="宋体" w:asciiTheme="minorEastAsia" w:hAnsiTheme="minorEastAsia"/>
          <w:b/>
          <w:bCs/>
          <w:sz w:val="24"/>
          <w:szCs w:val="24"/>
        </w:rPr>
        <w:t>3、</w:t>
      </w:r>
      <w:r>
        <w:rPr>
          <w:rFonts w:hint="eastAsia" w:cs="宋体" w:asciiTheme="minorEastAsia" w:hAnsiTheme="minorEastAsia"/>
          <w:b/>
          <w:bCs/>
          <w:sz w:val="24"/>
          <w:szCs w:val="24"/>
        </w:rPr>
        <w:t>服务期限</w:t>
      </w:r>
      <w:r>
        <w:rPr>
          <w:rFonts w:cs="宋体" w:asciiTheme="minorEastAsia" w:hAnsiTheme="minorEastAsia"/>
          <w:b/>
          <w:bCs/>
          <w:sz w:val="24"/>
          <w:szCs w:val="24"/>
        </w:rPr>
        <w:t>：</w:t>
      </w:r>
      <w:r>
        <w:rPr>
          <w:rFonts w:cs="宋体" w:asciiTheme="minorEastAsia" w:hAnsiTheme="minorEastAsia"/>
          <w:b w:val="0"/>
          <w:bCs w:val="0"/>
          <w:sz w:val="24"/>
          <w:szCs w:val="24"/>
          <w:u w:val="single"/>
        </w:rPr>
        <w:t>从签订合同起至出具工程竣工结算审计报告，结算审计复核完成止</w:t>
      </w:r>
      <w:r>
        <w:rPr>
          <w:rFonts w:cs="宋体" w:asciiTheme="minorEastAsia" w:hAnsiTheme="minorEastAsia"/>
          <w:b w:val="0"/>
          <w:bCs w:val="0"/>
          <w:sz w:val="24"/>
          <w:szCs w:val="24"/>
          <w:highlight w:val="none"/>
          <w:u w:val="single"/>
        </w:rPr>
        <w:t>。</w:t>
      </w:r>
    </w:p>
    <w:p w14:paraId="0E4F044C">
      <w:pPr>
        <w:widowControl/>
        <w:spacing w:line="360" w:lineRule="auto"/>
        <w:ind w:firstLine="482" w:firstLineChars="200"/>
        <w:jc w:val="left"/>
        <w:rPr>
          <w:rFonts w:hint="eastAsia" w:cs="宋体" w:asciiTheme="minorEastAsia" w:hAnsiTheme="minorEastAsia"/>
          <w:sz w:val="24"/>
          <w:szCs w:val="24"/>
          <w:u w:val="single"/>
        </w:rPr>
      </w:pPr>
      <w:r>
        <w:rPr>
          <w:rFonts w:cs="宋体" w:asciiTheme="minorEastAsia" w:hAnsiTheme="minorEastAsia"/>
          <w:b/>
          <w:bCs/>
          <w:sz w:val="24"/>
          <w:szCs w:val="24"/>
        </w:rPr>
        <w:t>4、招标范围：</w:t>
      </w:r>
      <w:r>
        <w:rPr>
          <w:rFonts w:hint="eastAsia" w:cs="宋体" w:asciiTheme="minorEastAsia" w:hAnsiTheme="minorEastAsia"/>
          <w:sz w:val="24"/>
          <w:szCs w:val="24"/>
          <w:u w:val="single"/>
          <w:lang w:val="en-US" w:eastAsia="zh-CN"/>
        </w:rPr>
        <w:t>宿州市医保反欺诈大数据应用监管建设及服务项目结算审计</w:t>
      </w:r>
      <w:r>
        <w:rPr>
          <w:rFonts w:hint="eastAsia" w:cs="宋体" w:asciiTheme="minorEastAsia" w:hAnsiTheme="minorEastAsia"/>
          <w:sz w:val="24"/>
          <w:szCs w:val="24"/>
          <w:u w:val="single"/>
        </w:rPr>
        <w:t>。</w:t>
      </w:r>
    </w:p>
    <w:p w14:paraId="08649AC0">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rPr>
      </w:pPr>
      <w:r>
        <w:rPr>
          <w:rFonts w:asciiTheme="minorEastAsia" w:hAnsiTheme="minorEastAsia"/>
        </w:rPr>
        <w:t>三、</w:t>
      </w:r>
      <w:r>
        <w:rPr>
          <w:rFonts w:hint="eastAsia" w:asciiTheme="minorEastAsia" w:hAnsiTheme="minorEastAsia"/>
          <w:lang w:val="en-US" w:eastAsia="zh-CN"/>
        </w:rPr>
        <w:t>供应商</w:t>
      </w:r>
      <w:r>
        <w:rPr>
          <w:rFonts w:asciiTheme="minorEastAsia" w:hAnsiTheme="minorEastAsia"/>
        </w:rPr>
        <w:t>资格要求</w:t>
      </w:r>
    </w:p>
    <w:p w14:paraId="169161A3">
      <w:pPr>
        <w:spacing w:line="360" w:lineRule="auto"/>
        <w:ind w:firstLine="480" w:firstLineChars="200"/>
        <w:rPr>
          <w:rFonts w:hint="eastAsia" w:asciiTheme="minorEastAsia" w:hAnsiTheme="minorEastAsia"/>
          <w:sz w:val="24"/>
        </w:rPr>
      </w:pPr>
      <w:r>
        <w:rPr>
          <w:rFonts w:hint="eastAsia" w:asciiTheme="minorEastAsia" w:hAnsiTheme="minorEastAsia"/>
          <w:sz w:val="24"/>
        </w:rPr>
        <w:t xml:space="preserve">1、符合《中华人民共和国政府采购法》第二十二条规定； </w:t>
      </w:r>
    </w:p>
    <w:p w14:paraId="625B724B">
      <w:pPr>
        <w:spacing w:line="360" w:lineRule="auto"/>
        <w:ind w:firstLine="480" w:firstLineChars="200"/>
        <w:rPr>
          <w:rFonts w:hint="eastAsia" w:asciiTheme="minorEastAsia" w:hAnsiTheme="minorEastAsia"/>
          <w:sz w:val="24"/>
        </w:rPr>
      </w:pPr>
      <w:r>
        <w:rPr>
          <w:rFonts w:hint="eastAsia" w:asciiTheme="minorEastAsia" w:hAnsiTheme="minorEastAsia"/>
          <w:sz w:val="24"/>
        </w:rPr>
        <w:t>2、其他资格要求：</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14:paraId="693C9D68">
      <w:pPr>
        <w:spacing w:line="360" w:lineRule="auto"/>
        <w:ind w:firstLine="480" w:firstLineChars="200"/>
        <w:rPr>
          <w:rFonts w:hint="eastAsia" w:asciiTheme="minorEastAsia" w:hAnsiTheme="minorEastAsia"/>
          <w:sz w:val="24"/>
        </w:rPr>
      </w:pPr>
      <w:r>
        <w:rPr>
          <w:rFonts w:asciiTheme="minorEastAsia" w:hAnsiTheme="minorEastAsia"/>
          <w:sz w:val="24"/>
        </w:rPr>
        <w:t>3</w:t>
      </w:r>
      <w:r>
        <w:rPr>
          <w:rFonts w:hint="eastAsia" w:asciiTheme="minorEastAsia" w:hAnsiTheme="minorEastAsia"/>
          <w:sz w:val="24"/>
        </w:rPr>
        <w:t>、本次招标不接受联合体投标。</w:t>
      </w:r>
    </w:p>
    <w:p w14:paraId="556F89C7">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rPr>
      </w:pPr>
      <w:r>
        <w:rPr>
          <w:rFonts w:hint="eastAsia" w:asciiTheme="minorEastAsia" w:hAnsiTheme="minorEastAsia"/>
        </w:rPr>
        <w:t>四、</w:t>
      </w:r>
      <w:r>
        <w:rPr>
          <w:rFonts w:hint="eastAsia" w:asciiTheme="minorEastAsia" w:hAnsiTheme="minorEastAsia"/>
          <w:lang w:val="en-US" w:eastAsia="zh-CN"/>
        </w:rPr>
        <w:t>审计</w:t>
      </w:r>
      <w:r>
        <w:rPr>
          <w:rFonts w:hint="eastAsia" w:asciiTheme="minorEastAsia" w:hAnsiTheme="minorEastAsia"/>
        </w:rPr>
        <w:t>费报价</w:t>
      </w:r>
    </w:p>
    <w:p w14:paraId="5DF2AC07">
      <w:pPr>
        <w:spacing w:line="360" w:lineRule="auto"/>
        <w:ind w:firstLine="480" w:firstLineChars="200"/>
        <w:jc w:val="left"/>
        <w:rPr>
          <w:rFonts w:hint="eastAsia" w:cs="宋体" w:asciiTheme="minorEastAsia" w:hAnsiTheme="minorEastAsia"/>
          <w:bCs/>
          <w:sz w:val="24"/>
          <w:szCs w:val="24"/>
        </w:rPr>
      </w:pPr>
      <w:r>
        <w:rPr>
          <w:rFonts w:hint="eastAsia" w:cs="宋体" w:asciiTheme="minorEastAsia" w:hAnsiTheme="minorEastAsia"/>
          <w:bCs/>
          <w:sz w:val="24"/>
          <w:szCs w:val="24"/>
        </w:rPr>
        <w:t>本项目</w:t>
      </w:r>
      <w:r>
        <w:rPr>
          <w:rFonts w:hint="eastAsia" w:cs="宋体" w:asciiTheme="minorEastAsia" w:hAnsiTheme="minorEastAsia"/>
          <w:bCs/>
          <w:sz w:val="24"/>
          <w:szCs w:val="24"/>
          <w:lang w:val="en-US" w:eastAsia="zh-CN"/>
        </w:rPr>
        <w:t>审计</w:t>
      </w:r>
      <w:r>
        <w:rPr>
          <w:rFonts w:hint="eastAsia" w:cs="宋体" w:asciiTheme="minorEastAsia" w:hAnsiTheme="minorEastAsia"/>
          <w:bCs/>
          <w:sz w:val="24"/>
          <w:szCs w:val="24"/>
        </w:rPr>
        <w:t>服务费报价采用固定报价方式，对应最高</w:t>
      </w:r>
      <w:r>
        <w:rPr>
          <w:rFonts w:hint="eastAsia" w:cs="宋体" w:asciiTheme="minorEastAsia" w:hAnsiTheme="minorEastAsia"/>
          <w:bCs/>
          <w:sz w:val="24"/>
          <w:szCs w:val="24"/>
          <w:lang w:val="en-US" w:eastAsia="zh-CN"/>
        </w:rPr>
        <w:t>审计</w:t>
      </w:r>
      <w:r>
        <w:rPr>
          <w:rFonts w:hint="eastAsia" w:cs="宋体" w:asciiTheme="minorEastAsia" w:hAnsiTheme="minorEastAsia"/>
          <w:bCs/>
          <w:sz w:val="24"/>
          <w:szCs w:val="24"/>
        </w:rPr>
        <w:t>服务费上限为</w:t>
      </w:r>
      <w:r>
        <w:rPr>
          <w:rFonts w:hint="eastAsia" w:cs="宋体" w:asciiTheme="minorEastAsia" w:hAnsiTheme="minorEastAsia"/>
          <w:bCs/>
          <w:sz w:val="24"/>
          <w:szCs w:val="24"/>
          <w:lang w:val="en-US" w:eastAsia="zh-CN"/>
        </w:rPr>
        <w:t>9600元。供应商</w:t>
      </w:r>
      <w:r>
        <w:rPr>
          <w:rFonts w:hint="eastAsia" w:cs="宋体" w:asciiTheme="minorEastAsia" w:hAnsiTheme="minorEastAsia"/>
          <w:bCs/>
          <w:sz w:val="24"/>
          <w:szCs w:val="24"/>
        </w:rPr>
        <w:t>的投标报价不得高于对应</w:t>
      </w:r>
      <w:r>
        <w:rPr>
          <w:rFonts w:hint="eastAsia" w:cs="宋体" w:asciiTheme="minorEastAsia" w:hAnsiTheme="minorEastAsia"/>
          <w:bCs/>
          <w:sz w:val="24"/>
          <w:szCs w:val="24"/>
          <w:lang w:val="en-US" w:eastAsia="zh-CN"/>
        </w:rPr>
        <w:t>审计</w:t>
      </w:r>
      <w:r>
        <w:rPr>
          <w:rFonts w:hint="eastAsia" w:cs="宋体" w:asciiTheme="minorEastAsia" w:hAnsiTheme="minorEastAsia"/>
          <w:bCs/>
          <w:sz w:val="24"/>
          <w:szCs w:val="24"/>
        </w:rPr>
        <w:t>服务费的最高限价，若高于最高</w:t>
      </w:r>
      <w:r>
        <w:rPr>
          <w:rFonts w:hint="eastAsia" w:cs="宋体" w:asciiTheme="minorEastAsia" w:hAnsiTheme="minorEastAsia"/>
          <w:bCs/>
          <w:sz w:val="24"/>
          <w:szCs w:val="24"/>
          <w:lang w:val="en-US" w:eastAsia="zh-CN"/>
        </w:rPr>
        <w:t>审计</w:t>
      </w:r>
      <w:r>
        <w:rPr>
          <w:rFonts w:hint="eastAsia" w:cs="宋体" w:asciiTheme="minorEastAsia" w:hAnsiTheme="minorEastAsia"/>
          <w:bCs/>
          <w:sz w:val="24"/>
          <w:szCs w:val="24"/>
        </w:rPr>
        <w:t>服务费限价，将投标无效。</w:t>
      </w:r>
    </w:p>
    <w:p w14:paraId="6E881289">
      <w:pPr>
        <w:spacing w:line="360" w:lineRule="auto"/>
        <w:jc w:val="left"/>
        <w:rPr>
          <w:rFonts w:hint="eastAsia" w:asciiTheme="minorEastAsia" w:hAnsiTheme="minorEastAsia"/>
          <w:b/>
          <w:bCs w:val="0"/>
          <w:sz w:val="28"/>
          <w:szCs w:val="28"/>
        </w:rPr>
      </w:pPr>
      <w:r>
        <w:rPr>
          <w:rFonts w:hint="eastAsia" w:cs="宋体" w:asciiTheme="minorEastAsia" w:hAnsiTheme="minorEastAsia"/>
          <w:b/>
          <w:bCs w:val="0"/>
          <w:sz w:val="28"/>
          <w:szCs w:val="28"/>
          <w:lang w:eastAsia="zh-CN"/>
        </w:rPr>
        <w:t>五、</w:t>
      </w:r>
      <w:r>
        <w:rPr>
          <w:rFonts w:hint="eastAsia" w:asciiTheme="minorEastAsia" w:hAnsiTheme="minorEastAsia"/>
          <w:b/>
          <w:bCs w:val="0"/>
          <w:sz w:val="28"/>
          <w:szCs w:val="28"/>
        </w:rPr>
        <w:t>付款方式</w:t>
      </w:r>
    </w:p>
    <w:p w14:paraId="26CB1AEF">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asciiTheme="minorEastAsia" w:hAnsiTheme="minorEastAsia" w:eastAsiaTheme="minorEastAsia"/>
          <w:b w:val="0"/>
          <w:bCs/>
          <w:kern w:val="2"/>
          <w:sz w:val="24"/>
          <w:szCs w:val="24"/>
          <w:lang w:val="en-US" w:eastAsia="zh-CN" w:bidi="ar-SA"/>
        </w:rPr>
      </w:pPr>
      <w:r>
        <w:rPr>
          <w:rFonts w:hint="eastAsia" w:cs="宋体" w:asciiTheme="minorEastAsia" w:hAnsiTheme="minorEastAsia" w:eastAsiaTheme="minorEastAsia"/>
          <w:b w:val="0"/>
          <w:bCs/>
          <w:kern w:val="2"/>
          <w:sz w:val="24"/>
          <w:szCs w:val="24"/>
          <w:lang w:val="en-US" w:eastAsia="zh-CN" w:bidi="ar-SA"/>
        </w:rPr>
        <w:t>经采购人验收，出具审计报告后一次性付清</w:t>
      </w:r>
    </w:p>
    <w:p w14:paraId="4C0B9379">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rPr>
      </w:pPr>
      <w:r>
        <w:rPr>
          <w:rFonts w:hint="eastAsia" w:asciiTheme="minorEastAsia" w:hAnsiTheme="minorEastAsia"/>
        </w:rPr>
        <w:t>六、服务需求</w:t>
      </w:r>
    </w:p>
    <w:p w14:paraId="02B2D08E">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asciiTheme="minorEastAsia" w:hAnsiTheme="minorEastAsia" w:eastAsiaTheme="minorEastAsia"/>
          <w:b/>
          <w:bCs w:val="0"/>
          <w:kern w:val="2"/>
          <w:sz w:val="24"/>
          <w:szCs w:val="24"/>
          <w:lang w:val="en-US" w:eastAsia="zh-CN" w:bidi="ar-SA"/>
        </w:rPr>
      </w:pPr>
      <w:r>
        <w:rPr>
          <w:rFonts w:hint="eastAsia" w:cs="宋体" w:asciiTheme="minorEastAsia" w:hAnsiTheme="minorEastAsia" w:eastAsiaTheme="minorEastAsia"/>
          <w:b/>
          <w:bCs w:val="0"/>
          <w:kern w:val="2"/>
          <w:sz w:val="24"/>
          <w:szCs w:val="24"/>
          <w:lang w:val="en-US" w:eastAsia="zh-CN" w:bidi="ar-SA"/>
        </w:rPr>
        <w:t>（一）项目服务内容</w:t>
      </w:r>
    </w:p>
    <w:p w14:paraId="35602F58">
      <w:pPr>
        <w:pStyle w:val="3"/>
        <w:rPr>
          <w:rFonts w:hint="eastAsia" w:cs="宋体" w:asciiTheme="minorEastAsia" w:hAnsiTheme="minorEastAsia" w:eastAsiaTheme="minorEastAsia"/>
          <w:b w:val="0"/>
          <w:bCs/>
          <w:kern w:val="2"/>
          <w:sz w:val="24"/>
          <w:szCs w:val="24"/>
          <w:lang w:val="en-US" w:eastAsia="zh-CN" w:bidi="ar-SA"/>
        </w:rPr>
      </w:pPr>
      <w:bookmarkStart w:id="0" w:name="OLE_LINK3"/>
      <w:bookmarkStart w:id="1" w:name="OLE_LINK4"/>
      <w:r>
        <w:rPr>
          <w:rFonts w:hint="eastAsia" w:cs="宋体" w:asciiTheme="minorEastAsia" w:hAnsiTheme="minorEastAsia" w:eastAsiaTheme="minorEastAsia"/>
          <w:b w:val="0"/>
          <w:bCs/>
          <w:kern w:val="2"/>
          <w:sz w:val="24"/>
          <w:szCs w:val="24"/>
          <w:lang w:val="en-US" w:eastAsia="zh-CN" w:bidi="ar-SA"/>
        </w:rPr>
        <w:t>1.提供项目审计服务及其相关专业咨询，按照项目建设流程和项目实施过程中各阶段的先后顺序，经充分调研、审核和考证后，形成对应的项目审计报告。</w:t>
      </w:r>
    </w:p>
    <w:p w14:paraId="3DD6EA19">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asciiTheme="minorEastAsia" w:hAnsiTheme="minorEastAsia" w:eastAsiaTheme="minorEastAsia"/>
          <w:b w:val="0"/>
          <w:bCs/>
          <w:kern w:val="2"/>
          <w:sz w:val="24"/>
          <w:szCs w:val="24"/>
          <w:lang w:val="en-US" w:eastAsia="zh-CN" w:bidi="ar-SA"/>
        </w:rPr>
      </w:pPr>
      <w:r>
        <w:rPr>
          <w:rFonts w:hint="eastAsia" w:cs="宋体" w:asciiTheme="minorEastAsia" w:hAnsiTheme="minorEastAsia" w:eastAsiaTheme="minorEastAsia"/>
          <w:b w:val="0"/>
          <w:bCs/>
          <w:kern w:val="2"/>
          <w:sz w:val="24"/>
          <w:szCs w:val="24"/>
          <w:lang w:val="en-US" w:eastAsia="zh-CN" w:bidi="ar-SA"/>
        </w:rPr>
        <w:t>2.根据采购人提出的要求和相关审计工作的有关规定，独立、客观、公正地开展结算审计工作。</w:t>
      </w:r>
    </w:p>
    <w:bookmarkEnd w:id="0"/>
    <w:bookmarkEnd w:id="1"/>
    <w:p w14:paraId="3DDF72CA">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bCs/>
          <w:sz w:val="24"/>
          <w:szCs w:val="28"/>
        </w:rPr>
      </w:pPr>
      <w:r>
        <w:rPr>
          <w:rFonts w:hint="eastAsia" w:asciiTheme="minorEastAsia" w:hAnsiTheme="minorEastAsia" w:eastAsiaTheme="minorEastAsia"/>
          <w:b/>
          <w:bCs/>
          <w:sz w:val="24"/>
          <w:szCs w:val="28"/>
        </w:rPr>
        <w:t>（</w:t>
      </w:r>
      <w:r>
        <w:rPr>
          <w:rFonts w:hint="eastAsia" w:asciiTheme="minorEastAsia" w:hAnsiTheme="minorEastAsia" w:eastAsiaTheme="minorEastAsia"/>
          <w:b/>
          <w:bCs/>
          <w:sz w:val="24"/>
          <w:szCs w:val="28"/>
          <w:lang w:val="en-US" w:eastAsia="zh-CN"/>
        </w:rPr>
        <w:t>二</w:t>
      </w:r>
      <w:r>
        <w:rPr>
          <w:rFonts w:hint="eastAsia" w:asciiTheme="minorEastAsia" w:hAnsiTheme="minorEastAsia" w:eastAsiaTheme="minorEastAsia"/>
          <w:b/>
          <w:bCs/>
          <w:sz w:val="24"/>
          <w:szCs w:val="28"/>
        </w:rPr>
        <w:t>）项目结算审计服务内容</w:t>
      </w:r>
    </w:p>
    <w:p w14:paraId="41B04A71">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1.对项目结算的真实性、正确性、合规性和有效性进行审查和评价，出具项目结算审计报告。</w:t>
      </w:r>
    </w:p>
    <w:p w14:paraId="4A8D9AA2">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2.项目结算审计目标</w:t>
      </w:r>
    </w:p>
    <w:p w14:paraId="30D42881">
      <w:pPr>
        <w:spacing w:line="240" w:lineRule="auto"/>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（1）确定项目结算的真实性，即查明所编结算与项目完成情况是否一致；</w:t>
      </w:r>
    </w:p>
    <w:p w14:paraId="4CC793B1">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(2)确定建设项目结算的正确性，各项计算是否与有关规定一致，内容、数量是否准确，是否有虚假和错误，验证其可靠程度；</w:t>
      </w:r>
    </w:p>
    <w:p w14:paraId="76B317FE">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(3)确定建设项目结算的合规性。主要是查证结算编制是否符合定额、标准、合同条款和有关规定，认定结算的合法性，即是否能作为项目价款结算的合法依据，使其具有法律效力；</w:t>
      </w:r>
    </w:p>
    <w:p w14:paraId="43D31D75">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(4)确定项目结算的有效性。结算审计结果列入项目验收决算成本的主要组成部分。</w:t>
      </w:r>
    </w:p>
    <w:p w14:paraId="330005F7">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3.项目结算审计内容</w:t>
      </w:r>
    </w:p>
    <w:p w14:paraId="72A4D096">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(1)检查项目投资控制情况：审查项目结算价款与合同价款、投标金额、标底以及批复概算金额的差异；审查承建方提报结算金额及成交供应商、建设单位的审计结果的差异情况，审查项目投资控制情况；审查是否超过概算额度，如超过概算，是否已经审批。</w:t>
      </w:r>
    </w:p>
    <w:p w14:paraId="306D0B02">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(2)审查项目合同奖惩条款执行情况：审查项目合同有无相关的奖惩条款，结算费用是否根据实际履行情况进行相应的调整，调整是否准确；检查合同义务是否完全履行，关注合同中关于工期、质量违约条款的约定以及有无未执行合同工作项目；检查合同调整内容是否严格依据合同文件及招投标文件约定执行。</w:t>
      </w:r>
    </w:p>
    <w:p w14:paraId="5EE38C68">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(3)项目施工费用审计</w:t>
      </w:r>
    </w:p>
    <w:p w14:paraId="3BC94300">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项目价款结算审计依合同约定条款进行。合同未作约定或约定不明的，采购人、成交供应商双方应依照下列规定与文件协商处理：国家有关法律法规和规章制度；国务院建设行政主管部门、安徽省、宿州市或有关部门发布的工程造价计价标准、计价办法等有关规定；项目的合同、补充协议、变更签证和现场签证，以及经合同双方认可的其他有效文件。</w:t>
      </w:r>
    </w:p>
    <w:p w14:paraId="0CDE7996">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bCs/>
          <w:sz w:val="24"/>
          <w:szCs w:val="28"/>
        </w:rPr>
      </w:pPr>
      <w:r>
        <w:rPr>
          <w:rFonts w:hint="eastAsia" w:asciiTheme="minorEastAsia" w:hAnsiTheme="minorEastAsia" w:eastAsiaTheme="minorEastAsia"/>
          <w:b/>
          <w:bCs/>
          <w:sz w:val="24"/>
          <w:szCs w:val="28"/>
        </w:rPr>
        <w:t>（</w:t>
      </w:r>
      <w:r>
        <w:rPr>
          <w:rFonts w:hint="eastAsia" w:asciiTheme="minorEastAsia" w:hAnsiTheme="minorEastAsia" w:eastAsiaTheme="minorEastAsia"/>
          <w:b/>
          <w:bCs/>
          <w:sz w:val="24"/>
          <w:szCs w:val="28"/>
          <w:lang w:val="en-US" w:eastAsia="zh-CN"/>
        </w:rPr>
        <w:t>三</w:t>
      </w:r>
      <w:r>
        <w:rPr>
          <w:rFonts w:hint="eastAsia" w:asciiTheme="minorEastAsia" w:hAnsiTheme="minorEastAsia" w:eastAsiaTheme="minorEastAsia"/>
          <w:b/>
          <w:bCs/>
          <w:sz w:val="24"/>
          <w:szCs w:val="28"/>
        </w:rPr>
        <w:t>）服务基本要求</w:t>
      </w:r>
    </w:p>
    <w:p w14:paraId="2ED7E1FE">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bookmarkStart w:id="2" w:name="_GoBack"/>
      <w:r>
        <w:rPr>
          <w:rFonts w:hint="eastAsia" w:asciiTheme="minorEastAsia" w:hAnsiTheme="minorEastAsia" w:eastAsiaTheme="minorEastAsia"/>
          <w:b w:val="0"/>
          <w:bCs w:val="0"/>
          <w:sz w:val="24"/>
          <w:szCs w:val="28"/>
        </w:rPr>
        <w:t>1.成交供应商须根据采购人工作需要，组建服务团队；成交供应商派出的工作人员应相对稳定，非经采购人许可，不得中途更换选派人员。</w:t>
      </w:r>
    </w:p>
    <w:p w14:paraId="16F15F65">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2.成交供应商派出的工作人员必须服从采购人的项目工作安排，按时保质完成任务。</w:t>
      </w:r>
    </w:p>
    <w:p w14:paraId="619D9092">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3.成交供应商派出的工作人员依法开展相关审计工作，对审计结果的真实性、准确性负责。</w:t>
      </w:r>
    </w:p>
    <w:p w14:paraId="73CD1959">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4.为保证审计工作总体进度，成交供应商须及时向采购人报告工作进度。</w:t>
      </w:r>
    </w:p>
    <w:p w14:paraId="16643CD3">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5.成交供应商在审计工作过程中遇到的重大问题应及时反馈采购人。</w:t>
      </w:r>
    </w:p>
    <w:p w14:paraId="214E837E">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6.成交供应商派出的工作人员应完整、准确、真实地反映和记录工作过程和情况，认真做好各类资料的归集、存档和保管工作。</w:t>
      </w:r>
    </w:p>
    <w:p w14:paraId="13C95F56">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7.成交供应商派出的工作人员不能胜任工作、与采购人存在利益关系的、违反有关法律法规或采购人制定的工作纪律被有效投诉的，采购人有权要求成交供应商</w:t>
      </w:r>
      <w:bookmarkEnd w:id="2"/>
      <w:r>
        <w:rPr>
          <w:rFonts w:hint="eastAsia" w:asciiTheme="minorEastAsia" w:hAnsiTheme="minorEastAsia" w:eastAsiaTheme="minorEastAsia"/>
          <w:b w:val="0"/>
          <w:bCs w:val="0"/>
          <w:sz w:val="24"/>
          <w:szCs w:val="28"/>
        </w:rPr>
        <w:t>调换工作人员。</w:t>
      </w:r>
    </w:p>
    <w:p w14:paraId="24B825B0">
      <w:pPr>
        <w:pStyle w:val="3"/>
        <w:rPr>
          <w:rFonts w:hint="eastAsia" w:asciiTheme="minorEastAsia" w:hAnsiTheme="minorEastAsia" w:eastAsiaTheme="minorEastAsia"/>
          <w:b/>
          <w:bCs/>
          <w:sz w:val="24"/>
          <w:szCs w:val="28"/>
          <w:lang w:val="en-US" w:eastAsia="zh-CN"/>
        </w:rPr>
      </w:pPr>
      <w:r>
        <w:rPr>
          <w:rFonts w:hint="eastAsia" w:asciiTheme="minorEastAsia" w:hAnsiTheme="minorEastAsia" w:eastAsiaTheme="minorEastAsia"/>
          <w:b/>
          <w:bCs/>
          <w:sz w:val="24"/>
          <w:szCs w:val="28"/>
        </w:rPr>
        <w:t>（四）</w:t>
      </w:r>
      <w:r>
        <w:rPr>
          <w:rFonts w:hint="eastAsia" w:asciiTheme="minorEastAsia" w:hAnsiTheme="minorEastAsia" w:eastAsiaTheme="minorEastAsia"/>
          <w:b/>
          <w:bCs/>
          <w:sz w:val="24"/>
          <w:szCs w:val="28"/>
          <w:lang w:val="en-US" w:eastAsia="zh-CN"/>
        </w:rPr>
        <w:t>人员要求：</w:t>
      </w:r>
      <w:r>
        <w:rPr>
          <w:rFonts w:hint="eastAsia" w:asciiTheme="minorEastAsia" w:hAnsiTheme="minorEastAsia" w:eastAsiaTheme="minorEastAsia"/>
          <w:b w:val="0"/>
          <w:bCs w:val="0"/>
          <w:sz w:val="24"/>
          <w:szCs w:val="28"/>
          <w:lang w:val="en-US" w:eastAsia="zh-CN"/>
        </w:rPr>
        <w:t>服务期内，成交供应商应精心组建工作团队，团队不少于2人。其中：1名为项目负责人。</w:t>
      </w:r>
    </w:p>
    <w:p w14:paraId="61B86669">
      <w:pPr>
        <w:pStyle w:val="2"/>
        <w:rPr>
          <w:rFonts w:hint="eastAsia" w:asciiTheme="minorEastAsia" w:hAnsiTheme="minorEastAsia"/>
        </w:rPr>
      </w:pPr>
      <w:r>
        <w:rPr>
          <w:rFonts w:hint="eastAsia" w:asciiTheme="minorEastAsia" w:hAnsiTheme="minorEastAsia"/>
        </w:rPr>
        <w:t>七、评审标准</w:t>
      </w:r>
    </w:p>
    <w:p w14:paraId="7A3DA2DB">
      <w:pPr>
        <w:tabs>
          <w:tab w:val="left" w:pos="720"/>
          <w:tab w:val="left" w:pos="6330"/>
        </w:tabs>
        <w:spacing w:line="360" w:lineRule="auto"/>
        <w:ind w:firstLine="482" w:firstLineChars="200"/>
        <w:rPr>
          <w:rFonts w:hint="eastAsia" w:cs="宋体" w:asciiTheme="minorEastAsia" w:hAnsiTheme="minorEastAsia"/>
          <w:b/>
          <w:sz w:val="24"/>
          <w:szCs w:val="24"/>
        </w:rPr>
      </w:pPr>
      <w:r>
        <w:rPr>
          <w:rFonts w:hint="eastAsia" w:cs="宋体" w:asciiTheme="minorEastAsia" w:hAnsiTheme="minorEastAsia"/>
          <w:b/>
          <w:sz w:val="24"/>
          <w:szCs w:val="24"/>
        </w:rPr>
        <w:t>评审</w:t>
      </w:r>
      <w:r>
        <w:rPr>
          <w:rFonts w:cs="宋体" w:asciiTheme="minorEastAsia" w:hAnsiTheme="minorEastAsia"/>
          <w:b/>
          <w:sz w:val="24"/>
          <w:szCs w:val="24"/>
        </w:rPr>
        <w:t>内容和分值如下:</w:t>
      </w:r>
      <w:r>
        <w:rPr>
          <w:rFonts w:cs="宋体" w:asciiTheme="minorEastAsia" w:hAnsiTheme="minorEastAsia"/>
          <w:b/>
          <w:sz w:val="24"/>
          <w:szCs w:val="24"/>
        </w:rPr>
        <w:tab/>
      </w:r>
    </w:p>
    <w:tbl>
      <w:tblPr>
        <w:tblStyle w:val="12"/>
        <w:tblW w:w="10916" w:type="dxa"/>
        <w:tblInd w:w="-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8221"/>
        <w:gridCol w:w="851"/>
      </w:tblGrid>
      <w:tr w14:paraId="0370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299DAE29">
            <w:pPr>
              <w:spacing w:line="500" w:lineRule="exact"/>
              <w:jc w:val="center"/>
              <w:rPr>
                <w:rFonts w:hint="eastAsia" w:asciiTheme="minorEastAsia" w:hAnsiTheme="minorEastAsia"/>
                <w:b/>
                <w:bCs/>
              </w:rPr>
            </w:pPr>
            <w:r>
              <w:rPr>
                <w:rFonts w:hint="eastAsia" w:cs="宋体" w:asciiTheme="minorEastAsia" w:hAnsiTheme="minorEastAsia"/>
                <w:b/>
                <w:bCs/>
              </w:rPr>
              <w:t>序号</w:t>
            </w:r>
          </w:p>
        </w:tc>
        <w:tc>
          <w:tcPr>
            <w:tcW w:w="1135" w:type="dxa"/>
            <w:tcBorders>
              <w:top w:val="single" w:color="auto" w:sz="4" w:space="0"/>
              <w:left w:val="single" w:color="auto" w:sz="4" w:space="0"/>
              <w:bottom w:val="single" w:color="auto" w:sz="4" w:space="0"/>
              <w:right w:val="single" w:color="auto" w:sz="4" w:space="0"/>
            </w:tcBorders>
            <w:vAlign w:val="center"/>
          </w:tcPr>
          <w:p w14:paraId="212F2573">
            <w:pPr>
              <w:spacing w:line="500" w:lineRule="exact"/>
              <w:jc w:val="center"/>
              <w:rPr>
                <w:rFonts w:hint="eastAsia" w:asciiTheme="minorEastAsia" w:hAnsiTheme="minorEastAsia"/>
                <w:b/>
                <w:bCs/>
              </w:rPr>
            </w:pPr>
            <w:r>
              <w:rPr>
                <w:rFonts w:hint="eastAsia" w:cs="宋体" w:asciiTheme="minorEastAsia" w:hAnsiTheme="minorEastAsia"/>
                <w:b/>
                <w:bCs/>
              </w:rPr>
              <w:t>评分项目</w:t>
            </w:r>
          </w:p>
        </w:tc>
        <w:tc>
          <w:tcPr>
            <w:tcW w:w="8221" w:type="dxa"/>
            <w:tcBorders>
              <w:top w:val="single" w:color="auto" w:sz="4" w:space="0"/>
              <w:left w:val="single" w:color="auto" w:sz="4" w:space="0"/>
              <w:bottom w:val="single" w:color="auto" w:sz="4" w:space="0"/>
              <w:right w:val="single" w:color="auto" w:sz="4" w:space="0"/>
            </w:tcBorders>
            <w:vAlign w:val="center"/>
          </w:tcPr>
          <w:p w14:paraId="28BC7C5A">
            <w:pPr>
              <w:spacing w:line="500" w:lineRule="exact"/>
              <w:jc w:val="center"/>
              <w:rPr>
                <w:rFonts w:hint="eastAsia" w:asciiTheme="minorEastAsia" w:hAnsiTheme="minorEastAsia"/>
                <w:b/>
                <w:bCs/>
              </w:rPr>
            </w:pPr>
            <w:r>
              <w:rPr>
                <w:rFonts w:hint="eastAsia" w:cs="宋体" w:asciiTheme="minorEastAsia" w:hAnsiTheme="minorEastAsia"/>
                <w:b/>
                <w:bCs/>
              </w:rPr>
              <w:t>评审参考说明</w:t>
            </w:r>
          </w:p>
        </w:tc>
        <w:tc>
          <w:tcPr>
            <w:tcW w:w="851" w:type="dxa"/>
            <w:tcBorders>
              <w:top w:val="single" w:color="auto" w:sz="4" w:space="0"/>
              <w:left w:val="single" w:color="auto" w:sz="4" w:space="0"/>
              <w:bottom w:val="single" w:color="auto" w:sz="4" w:space="0"/>
              <w:right w:val="single" w:color="auto" w:sz="4" w:space="0"/>
            </w:tcBorders>
            <w:vAlign w:val="center"/>
          </w:tcPr>
          <w:p w14:paraId="61FB5EC9">
            <w:pPr>
              <w:spacing w:line="500" w:lineRule="exact"/>
              <w:jc w:val="center"/>
              <w:rPr>
                <w:rFonts w:hint="eastAsia" w:asciiTheme="minorEastAsia" w:hAnsiTheme="minorEastAsia"/>
                <w:b/>
                <w:bCs/>
              </w:rPr>
            </w:pPr>
            <w:r>
              <w:rPr>
                <w:rFonts w:hint="eastAsia" w:cs="宋体" w:asciiTheme="minorEastAsia" w:hAnsiTheme="minorEastAsia"/>
                <w:b/>
                <w:bCs/>
              </w:rPr>
              <w:t>满分值</w:t>
            </w:r>
          </w:p>
        </w:tc>
      </w:tr>
      <w:tr w14:paraId="2314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916" w:type="dxa"/>
            <w:gridSpan w:val="4"/>
            <w:tcBorders>
              <w:top w:val="single" w:color="auto" w:sz="4" w:space="0"/>
              <w:left w:val="single" w:color="auto" w:sz="4" w:space="0"/>
              <w:bottom w:val="single" w:color="auto" w:sz="4" w:space="0"/>
              <w:right w:val="single" w:color="auto" w:sz="4" w:space="0"/>
            </w:tcBorders>
            <w:vAlign w:val="center"/>
          </w:tcPr>
          <w:p w14:paraId="036A60E9">
            <w:pPr>
              <w:spacing w:line="500" w:lineRule="exact"/>
              <w:jc w:val="center"/>
              <w:rPr>
                <w:rFonts w:hint="eastAsia" w:asciiTheme="minorEastAsia" w:hAnsiTheme="minorEastAsia"/>
                <w:b/>
                <w:bCs/>
              </w:rPr>
            </w:pPr>
            <w:r>
              <w:rPr>
                <w:rFonts w:hint="eastAsia" w:cs="宋体" w:asciiTheme="minorEastAsia" w:hAnsiTheme="minorEastAsia"/>
                <w:b/>
                <w:bCs/>
                <w:spacing w:val="10"/>
                <w:sz w:val="24"/>
                <w:szCs w:val="24"/>
              </w:rPr>
              <w:t>一、资信、技术评分标准（</w:t>
            </w:r>
            <w:r>
              <w:rPr>
                <w:rFonts w:cs="宋体" w:asciiTheme="minorEastAsia" w:hAnsiTheme="minorEastAsia"/>
                <w:b/>
                <w:bCs/>
                <w:spacing w:val="10"/>
                <w:sz w:val="24"/>
                <w:szCs w:val="24"/>
              </w:rPr>
              <w:t>9</w:t>
            </w:r>
            <w:r>
              <w:rPr>
                <w:rFonts w:hint="eastAsia" w:cs="宋体" w:asciiTheme="minorEastAsia" w:hAnsiTheme="minorEastAsia"/>
                <w:b/>
                <w:bCs/>
                <w:spacing w:val="10"/>
                <w:sz w:val="24"/>
                <w:szCs w:val="24"/>
              </w:rPr>
              <w:t>0分）</w:t>
            </w:r>
          </w:p>
        </w:tc>
      </w:tr>
      <w:tr w14:paraId="68A4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right w:val="single" w:color="auto" w:sz="4" w:space="0"/>
            </w:tcBorders>
            <w:vAlign w:val="center"/>
          </w:tcPr>
          <w:p w14:paraId="656ACF18">
            <w:pPr>
              <w:spacing w:line="500" w:lineRule="exact"/>
              <w:jc w:val="center"/>
              <w:rPr>
                <w:rFonts w:hint="eastAsia" w:asciiTheme="minorEastAsia" w:hAnsiTheme="minorEastAsia"/>
                <w:b/>
                <w:bCs/>
              </w:rPr>
            </w:pPr>
            <w:r>
              <w:rPr>
                <w:rFonts w:hint="eastAsia" w:cs="宋体" w:asciiTheme="minorEastAsia" w:hAnsiTheme="minorEastAsia"/>
                <w:b/>
                <w:bCs/>
              </w:rPr>
              <w:t>1</w:t>
            </w:r>
          </w:p>
        </w:tc>
        <w:tc>
          <w:tcPr>
            <w:tcW w:w="1135" w:type="dxa"/>
            <w:tcBorders>
              <w:top w:val="single" w:color="auto" w:sz="4" w:space="0"/>
              <w:left w:val="single" w:color="auto" w:sz="4" w:space="0"/>
              <w:bottom w:val="single" w:color="auto" w:sz="4" w:space="0"/>
              <w:right w:val="single" w:color="auto" w:sz="4" w:space="0"/>
            </w:tcBorders>
            <w:vAlign w:val="center"/>
          </w:tcPr>
          <w:p w14:paraId="4D97B884">
            <w:pPr>
              <w:spacing w:line="500" w:lineRule="exact"/>
              <w:rPr>
                <w:rFonts w:hint="default" w:asciiTheme="minorEastAsia" w:hAnsiTheme="minorEastAsia" w:eastAsiaTheme="minorEastAsia"/>
                <w:b/>
                <w:bCs/>
                <w:szCs w:val="21"/>
                <w:lang w:val="en-US" w:eastAsia="zh-CN"/>
              </w:rPr>
            </w:pPr>
            <w:r>
              <w:rPr>
                <w:rFonts w:hint="eastAsia" w:cs="宋体" w:asciiTheme="minorEastAsia" w:hAnsiTheme="minorEastAsia"/>
                <w:kern w:val="0"/>
                <w:szCs w:val="21"/>
                <w:lang w:val="en-US" w:eastAsia="zh-CN"/>
              </w:rPr>
              <w:t>审计服务方案</w:t>
            </w:r>
          </w:p>
        </w:tc>
        <w:tc>
          <w:tcPr>
            <w:tcW w:w="8221" w:type="dxa"/>
            <w:tcBorders>
              <w:top w:val="single" w:color="auto" w:sz="4" w:space="0"/>
              <w:left w:val="single" w:color="auto" w:sz="4" w:space="0"/>
              <w:bottom w:val="single" w:color="auto" w:sz="4" w:space="0"/>
              <w:right w:val="single" w:color="auto" w:sz="4" w:space="0"/>
            </w:tcBorders>
            <w:vAlign w:val="center"/>
          </w:tcPr>
          <w:p w14:paraId="3D35AD00">
            <w:pPr>
              <w:pStyle w:val="24"/>
              <w:ind w:left="0" w:leftChars="0" w:firstLine="0" w:firstLineChars="0"/>
              <w:rPr>
                <w:rFonts w:hint="eastAsia" w:cs="宋体" w:asciiTheme="minorEastAsia" w:hAnsiTheme="minorEastAsia" w:eastAsiaTheme="minorEastAsia"/>
                <w:szCs w:val="22"/>
              </w:rPr>
            </w:pPr>
            <w:r>
              <w:rPr>
                <w:rFonts w:hint="eastAsia" w:cs="宋体" w:asciiTheme="minorEastAsia" w:hAnsiTheme="minorEastAsia" w:eastAsiaTheme="minorEastAsia"/>
                <w:szCs w:val="22"/>
              </w:rPr>
              <w:t>一、服务方案（</w:t>
            </w:r>
            <w:r>
              <w:rPr>
                <w:rFonts w:hint="eastAsia" w:cs="宋体" w:asciiTheme="minorEastAsia" w:hAnsiTheme="minorEastAsia" w:eastAsiaTheme="minorEastAsia"/>
                <w:szCs w:val="22"/>
                <w:lang w:val="en-US" w:eastAsia="zh-CN"/>
              </w:rPr>
              <w:t>3</w:t>
            </w:r>
            <w:r>
              <w:rPr>
                <w:rFonts w:hint="eastAsia" w:cs="宋体" w:asciiTheme="minorEastAsia" w:hAnsiTheme="minorEastAsia" w:eastAsiaTheme="minorEastAsia"/>
                <w:szCs w:val="22"/>
              </w:rPr>
              <w:t>0分）</w:t>
            </w:r>
          </w:p>
          <w:p w14:paraId="3585BB78">
            <w:pPr>
              <w:pStyle w:val="24"/>
              <w:ind w:firstLine="420" w:firstLineChars="200"/>
              <w:rPr>
                <w:rFonts w:hint="eastAsia" w:cs="宋体" w:asciiTheme="minorEastAsia" w:hAnsiTheme="minorEastAsia" w:eastAsiaTheme="minorEastAsia"/>
                <w:szCs w:val="22"/>
              </w:rPr>
            </w:pPr>
            <w:r>
              <w:rPr>
                <w:rFonts w:hint="eastAsia" w:cs="宋体" w:asciiTheme="minorEastAsia" w:hAnsiTheme="minorEastAsia" w:eastAsiaTheme="minorEastAsia"/>
                <w:szCs w:val="22"/>
              </w:rPr>
              <w:t>业务工作程序合理，有序，明晰，内容涵盖全面，由评评标委员会综合评审，得分共分为</w:t>
            </w:r>
            <w:r>
              <w:rPr>
                <w:rFonts w:hint="eastAsia" w:cs="宋体" w:asciiTheme="minorEastAsia" w:hAnsiTheme="minorEastAsia" w:eastAsiaTheme="minorEastAsia"/>
                <w:szCs w:val="22"/>
                <w:lang w:val="en-US" w:eastAsia="zh-CN"/>
              </w:rPr>
              <w:t>三</w:t>
            </w:r>
            <w:r>
              <w:rPr>
                <w:rFonts w:hint="eastAsia" w:cs="宋体" w:asciiTheme="minorEastAsia" w:hAnsiTheme="minorEastAsia" w:eastAsiaTheme="minorEastAsia"/>
                <w:szCs w:val="22"/>
              </w:rPr>
              <w:t>个档次：一档得</w:t>
            </w:r>
            <w:r>
              <w:rPr>
                <w:rFonts w:hint="eastAsia" w:cs="宋体" w:asciiTheme="minorEastAsia" w:hAnsiTheme="minorEastAsia" w:eastAsiaTheme="minorEastAsia"/>
                <w:szCs w:val="22"/>
                <w:lang w:val="en-US" w:eastAsia="zh-CN"/>
              </w:rPr>
              <w:t>3</w:t>
            </w:r>
            <w:r>
              <w:rPr>
                <w:rFonts w:hint="eastAsia" w:cs="宋体" w:asciiTheme="minorEastAsia" w:hAnsiTheme="minorEastAsia" w:eastAsiaTheme="minorEastAsia"/>
                <w:szCs w:val="22"/>
              </w:rPr>
              <w:t>0分，二档得</w:t>
            </w:r>
            <w:r>
              <w:rPr>
                <w:rFonts w:hint="eastAsia" w:cs="宋体" w:asciiTheme="minorEastAsia" w:hAnsiTheme="minorEastAsia" w:eastAsiaTheme="minorEastAsia"/>
                <w:szCs w:val="22"/>
                <w:lang w:val="en-US" w:eastAsia="zh-CN"/>
              </w:rPr>
              <w:t>20</w:t>
            </w:r>
            <w:r>
              <w:rPr>
                <w:rFonts w:hint="eastAsia" w:cs="宋体" w:asciiTheme="minorEastAsia" w:hAnsiTheme="minorEastAsia" w:eastAsiaTheme="minorEastAsia"/>
                <w:szCs w:val="22"/>
              </w:rPr>
              <w:t>分，三档得1</w:t>
            </w:r>
            <w:r>
              <w:rPr>
                <w:rFonts w:hint="eastAsia" w:cs="宋体" w:asciiTheme="minorEastAsia" w:hAnsiTheme="minorEastAsia" w:eastAsiaTheme="minorEastAsia"/>
                <w:szCs w:val="22"/>
                <w:lang w:val="en-US" w:eastAsia="zh-CN"/>
              </w:rPr>
              <w:t>0</w:t>
            </w:r>
            <w:r>
              <w:rPr>
                <w:rFonts w:hint="eastAsia" w:cs="宋体" w:asciiTheme="minorEastAsia" w:hAnsiTheme="minorEastAsia" w:eastAsiaTheme="minorEastAsia"/>
                <w:szCs w:val="22"/>
              </w:rPr>
              <w:t>分，未提供不得分。</w:t>
            </w:r>
          </w:p>
          <w:p w14:paraId="02C26E86">
            <w:pPr>
              <w:pStyle w:val="24"/>
              <w:ind w:left="0" w:leftChars="0" w:firstLine="0" w:firstLineChars="0"/>
              <w:rPr>
                <w:rFonts w:hint="eastAsia" w:cs="宋体" w:asciiTheme="minorEastAsia" w:hAnsiTheme="minorEastAsia" w:eastAsiaTheme="minorEastAsia"/>
                <w:szCs w:val="22"/>
              </w:rPr>
            </w:pPr>
            <w:r>
              <w:rPr>
                <w:rFonts w:hint="eastAsia" w:cs="宋体" w:asciiTheme="minorEastAsia" w:hAnsiTheme="minorEastAsia" w:eastAsiaTheme="minorEastAsia"/>
                <w:szCs w:val="22"/>
              </w:rPr>
              <w:t>二、内部管控制度（20分）</w:t>
            </w:r>
          </w:p>
          <w:p w14:paraId="04605F96">
            <w:pPr>
              <w:pStyle w:val="24"/>
              <w:ind w:firstLine="420" w:firstLineChars="200"/>
              <w:rPr>
                <w:rFonts w:hint="eastAsia" w:cs="宋体" w:asciiTheme="minorEastAsia" w:hAnsiTheme="minorEastAsia" w:eastAsiaTheme="minorEastAsia"/>
                <w:szCs w:val="22"/>
              </w:rPr>
            </w:pPr>
            <w:r>
              <w:rPr>
                <w:rFonts w:hint="eastAsia" w:cs="宋体" w:asciiTheme="minorEastAsia" w:hAnsiTheme="minorEastAsia" w:eastAsiaTheme="minorEastAsia"/>
                <w:szCs w:val="22"/>
              </w:rPr>
              <w:t>1</w:t>
            </w:r>
            <w:r>
              <w:rPr>
                <w:rFonts w:hint="eastAsia" w:cs="宋体" w:asciiTheme="minorEastAsia" w:hAnsiTheme="minorEastAsia" w:eastAsiaTheme="minorEastAsia"/>
                <w:szCs w:val="22"/>
                <w:lang w:eastAsia="zh-CN"/>
              </w:rPr>
              <w:t>、</w:t>
            </w:r>
            <w:r>
              <w:rPr>
                <w:rFonts w:hint="eastAsia" w:cs="宋体" w:asciiTheme="minorEastAsia" w:hAnsiTheme="minorEastAsia" w:eastAsiaTheme="minorEastAsia"/>
                <w:szCs w:val="22"/>
              </w:rPr>
              <w:t>审计质量控制制度</w:t>
            </w:r>
          </w:p>
          <w:p w14:paraId="57758335">
            <w:pPr>
              <w:pStyle w:val="24"/>
              <w:ind w:firstLine="0" w:firstLineChars="0"/>
              <w:rPr>
                <w:rFonts w:hint="eastAsia" w:cs="宋体" w:asciiTheme="minorEastAsia" w:hAnsiTheme="minorEastAsia" w:eastAsiaTheme="minorEastAsia"/>
                <w:szCs w:val="22"/>
              </w:rPr>
            </w:pPr>
            <w:r>
              <w:rPr>
                <w:rFonts w:hint="eastAsia" w:cs="宋体" w:asciiTheme="minorEastAsia" w:hAnsiTheme="minorEastAsia" w:eastAsiaTheme="minorEastAsia"/>
                <w:szCs w:val="22"/>
              </w:rPr>
              <w:t>包括审核程序及标准、审计项目复核管理制度等，由评评标委员会综合评审，得分共分为</w:t>
            </w:r>
            <w:r>
              <w:rPr>
                <w:rFonts w:hint="eastAsia" w:cs="宋体" w:asciiTheme="minorEastAsia" w:hAnsiTheme="minorEastAsia" w:eastAsiaTheme="minorEastAsia"/>
                <w:szCs w:val="22"/>
                <w:lang w:val="en-US" w:eastAsia="zh-CN"/>
              </w:rPr>
              <w:t>三</w:t>
            </w:r>
            <w:r>
              <w:rPr>
                <w:rFonts w:hint="eastAsia" w:cs="宋体" w:asciiTheme="minorEastAsia" w:hAnsiTheme="minorEastAsia" w:eastAsiaTheme="minorEastAsia"/>
                <w:szCs w:val="22"/>
              </w:rPr>
              <w:t>个档次：一档得10分，二档得</w:t>
            </w:r>
            <w:r>
              <w:rPr>
                <w:rFonts w:hint="eastAsia" w:cs="宋体" w:asciiTheme="minorEastAsia" w:hAnsiTheme="minorEastAsia" w:eastAsiaTheme="minorEastAsia"/>
                <w:szCs w:val="22"/>
                <w:lang w:val="en-US" w:eastAsia="zh-CN"/>
              </w:rPr>
              <w:t>6</w:t>
            </w:r>
            <w:r>
              <w:rPr>
                <w:rFonts w:hint="eastAsia" w:cs="宋体" w:asciiTheme="minorEastAsia" w:hAnsiTheme="minorEastAsia" w:eastAsiaTheme="minorEastAsia"/>
                <w:szCs w:val="22"/>
              </w:rPr>
              <w:t>分，三档得</w:t>
            </w:r>
            <w:r>
              <w:rPr>
                <w:rFonts w:hint="eastAsia" w:cs="宋体" w:asciiTheme="minorEastAsia" w:hAnsiTheme="minorEastAsia" w:eastAsiaTheme="minorEastAsia"/>
                <w:szCs w:val="22"/>
                <w:lang w:val="en-US" w:eastAsia="zh-CN"/>
              </w:rPr>
              <w:t>2</w:t>
            </w:r>
            <w:r>
              <w:rPr>
                <w:rFonts w:hint="eastAsia" w:cs="宋体" w:asciiTheme="minorEastAsia" w:hAnsiTheme="minorEastAsia" w:eastAsiaTheme="minorEastAsia"/>
                <w:szCs w:val="22"/>
              </w:rPr>
              <w:t>分，未提供不得分。</w:t>
            </w:r>
          </w:p>
          <w:p w14:paraId="52BDC4FF">
            <w:pPr>
              <w:pStyle w:val="24"/>
              <w:ind w:firstLine="420" w:firstLineChars="200"/>
              <w:rPr>
                <w:rFonts w:hint="eastAsia" w:cs="宋体" w:asciiTheme="minorEastAsia" w:hAnsiTheme="minorEastAsia" w:eastAsiaTheme="minorEastAsia"/>
                <w:szCs w:val="22"/>
                <w:lang w:val="en-US" w:eastAsia="zh-CN"/>
              </w:rPr>
            </w:pPr>
            <w:r>
              <w:rPr>
                <w:rFonts w:hint="eastAsia" w:cs="宋体" w:asciiTheme="minorEastAsia" w:hAnsiTheme="minorEastAsia" w:eastAsiaTheme="minorEastAsia"/>
                <w:szCs w:val="22"/>
              </w:rPr>
              <w:t>2</w:t>
            </w:r>
            <w:r>
              <w:rPr>
                <w:rFonts w:hint="eastAsia" w:cs="宋体" w:asciiTheme="minorEastAsia" w:hAnsiTheme="minorEastAsia" w:eastAsiaTheme="minorEastAsia"/>
                <w:szCs w:val="22"/>
                <w:lang w:eastAsia="zh-CN"/>
              </w:rPr>
              <w:t>、</w:t>
            </w:r>
            <w:r>
              <w:rPr>
                <w:rFonts w:hint="eastAsia" w:cs="宋体" w:asciiTheme="minorEastAsia" w:hAnsiTheme="minorEastAsia" w:eastAsiaTheme="minorEastAsia"/>
                <w:szCs w:val="22"/>
              </w:rPr>
              <w:t xml:space="preserve"> 档案管理制度、廉政监管制度、岗位责任制度等，由评评标委员会综合评审，得分共分为</w:t>
            </w:r>
            <w:r>
              <w:rPr>
                <w:rFonts w:hint="eastAsia" w:cs="宋体" w:asciiTheme="minorEastAsia" w:hAnsiTheme="minorEastAsia" w:eastAsiaTheme="minorEastAsia"/>
                <w:szCs w:val="22"/>
                <w:lang w:val="en-US" w:eastAsia="zh-CN"/>
              </w:rPr>
              <w:t>三</w:t>
            </w:r>
            <w:r>
              <w:rPr>
                <w:rFonts w:hint="eastAsia" w:cs="宋体" w:asciiTheme="minorEastAsia" w:hAnsiTheme="minorEastAsia" w:eastAsiaTheme="minorEastAsia"/>
                <w:szCs w:val="22"/>
              </w:rPr>
              <w:t>个档次：一档得10分，二档得</w:t>
            </w:r>
            <w:r>
              <w:rPr>
                <w:rFonts w:hint="eastAsia" w:cs="宋体" w:asciiTheme="minorEastAsia" w:hAnsiTheme="minorEastAsia" w:eastAsiaTheme="minorEastAsia"/>
                <w:szCs w:val="22"/>
                <w:lang w:val="en-US" w:eastAsia="zh-CN"/>
              </w:rPr>
              <w:t>6</w:t>
            </w:r>
            <w:r>
              <w:rPr>
                <w:rFonts w:hint="eastAsia" w:cs="宋体" w:asciiTheme="minorEastAsia" w:hAnsiTheme="minorEastAsia" w:eastAsiaTheme="minorEastAsia"/>
                <w:szCs w:val="22"/>
              </w:rPr>
              <w:t>分，三档得</w:t>
            </w:r>
            <w:r>
              <w:rPr>
                <w:rFonts w:hint="eastAsia" w:cs="宋体" w:asciiTheme="minorEastAsia" w:hAnsiTheme="minorEastAsia" w:eastAsiaTheme="minorEastAsia"/>
                <w:szCs w:val="22"/>
                <w:lang w:val="en-US" w:eastAsia="zh-CN"/>
              </w:rPr>
              <w:t>2</w:t>
            </w:r>
            <w:r>
              <w:rPr>
                <w:rFonts w:hint="eastAsia" w:cs="宋体" w:asciiTheme="minorEastAsia" w:hAnsiTheme="minorEastAsia" w:eastAsiaTheme="minorEastAsia"/>
                <w:szCs w:val="22"/>
              </w:rPr>
              <w:t>分，未提供不得分。</w:t>
            </w:r>
          </w:p>
        </w:tc>
        <w:tc>
          <w:tcPr>
            <w:tcW w:w="851" w:type="dxa"/>
            <w:tcBorders>
              <w:top w:val="single" w:color="auto" w:sz="4" w:space="0"/>
              <w:left w:val="single" w:color="auto" w:sz="4" w:space="0"/>
              <w:bottom w:val="single" w:color="auto" w:sz="4" w:space="0"/>
              <w:right w:val="single" w:color="auto" w:sz="4" w:space="0"/>
            </w:tcBorders>
            <w:vAlign w:val="center"/>
          </w:tcPr>
          <w:p w14:paraId="686AEA1F">
            <w:pPr>
              <w:spacing w:line="500" w:lineRule="exact"/>
              <w:ind w:firstLine="34" w:firstLineChars="16"/>
              <w:jc w:val="center"/>
              <w:rPr>
                <w:rFonts w:hint="eastAsia" w:asciiTheme="minorEastAsia" w:hAnsiTheme="minorEastAsia"/>
                <w:b/>
                <w:bCs/>
              </w:rPr>
            </w:pPr>
            <w:r>
              <w:rPr>
                <w:rFonts w:hint="eastAsia" w:cs="宋体" w:asciiTheme="minorEastAsia" w:hAnsiTheme="minorEastAsia"/>
                <w:b/>
                <w:bCs/>
                <w:lang w:val="en-US" w:eastAsia="zh-CN"/>
              </w:rPr>
              <w:t>5</w:t>
            </w:r>
            <w:r>
              <w:rPr>
                <w:rFonts w:hint="eastAsia" w:cs="宋体" w:asciiTheme="minorEastAsia" w:hAnsiTheme="minorEastAsia"/>
                <w:b/>
                <w:bCs/>
              </w:rPr>
              <w:t>0分</w:t>
            </w:r>
          </w:p>
        </w:tc>
      </w:tr>
      <w:tr w14:paraId="3294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tcBorders>
              <w:top w:val="single" w:color="auto" w:sz="4" w:space="0"/>
              <w:left w:val="single" w:color="auto" w:sz="4" w:space="0"/>
              <w:right w:val="single" w:color="auto" w:sz="4" w:space="0"/>
            </w:tcBorders>
            <w:vAlign w:val="center"/>
          </w:tcPr>
          <w:p w14:paraId="7D987A3C">
            <w:pPr>
              <w:spacing w:line="500" w:lineRule="exact"/>
              <w:jc w:val="center"/>
              <w:rPr>
                <w:rFonts w:hint="eastAsia" w:cs="宋体" w:asciiTheme="minorEastAsia" w:hAnsiTheme="minorEastAsia"/>
                <w:b/>
                <w:bCs/>
              </w:rPr>
            </w:pPr>
            <w:r>
              <w:rPr>
                <w:rFonts w:hint="eastAsia" w:cs="宋体" w:asciiTheme="minorEastAsia" w:hAnsiTheme="minorEastAsia"/>
                <w:b/>
                <w:bCs/>
              </w:rPr>
              <w:t>2</w:t>
            </w:r>
          </w:p>
        </w:tc>
        <w:tc>
          <w:tcPr>
            <w:tcW w:w="1135" w:type="dxa"/>
            <w:tcBorders>
              <w:top w:val="single" w:color="auto" w:sz="4" w:space="0"/>
              <w:left w:val="single" w:color="auto" w:sz="4" w:space="0"/>
              <w:right w:val="single" w:color="auto" w:sz="4" w:space="0"/>
            </w:tcBorders>
            <w:vAlign w:val="center"/>
          </w:tcPr>
          <w:p w14:paraId="687CB948">
            <w:pPr>
              <w:rPr>
                <w:rFonts w:hint="default" w:cs="宋体" w:asciiTheme="minorEastAsia" w:hAnsiTheme="minorEastAsia"/>
                <w:lang w:val="en-US" w:eastAsia="zh-CN"/>
              </w:rPr>
            </w:pPr>
            <w:r>
              <w:rPr>
                <w:rFonts w:hint="eastAsia" w:cs="宋体" w:asciiTheme="minorEastAsia" w:hAnsiTheme="minorEastAsia"/>
                <w:lang w:val="en-US" w:eastAsia="zh-CN"/>
              </w:rPr>
              <w:t>项目负责人</w:t>
            </w:r>
          </w:p>
        </w:tc>
        <w:tc>
          <w:tcPr>
            <w:tcW w:w="8221" w:type="dxa"/>
            <w:tcBorders>
              <w:top w:val="single" w:color="auto" w:sz="4" w:space="0"/>
              <w:left w:val="single" w:color="auto" w:sz="4" w:space="0"/>
              <w:right w:val="single" w:color="auto" w:sz="4" w:space="0"/>
            </w:tcBorders>
            <w:vAlign w:val="center"/>
          </w:tcPr>
          <w:p w14:paraId="19A05CD6">
            <w:pPr>
              <w:rPr>
                <w:rFonts w:hint="eastAsia" w:cs="宋体" w:asciiTheme="minorEastAsia" w:hAnsiTheme="minorEastAsia"/>
                <w:lang w:val="en-US" w:eastAsia="zh-CN"/>
              </w:rPr>
            </w:pPr>
            <w:r>
              <w:rPr>
                <w:rFonts w:hint="eastAsia" w:cs="宋体" w:asciiTheme="minorEastAsia" w:hAnsiTheme="minorEastAsia"/>
                <w:lang w:val="en-US" w:eastAsia="zh-CN"/>
              </w:rPr>
              <w:t>拟派本项目配备的项目负责人（不少于1人）</w:t>
            </w:r>
          </w:p>
          <w:p w14:paraId="28B2E44B">
            <w:pPr>
              <w:numPr>
                <w:ilvl w:val="0"/>
                <w:numId w:val="0"/>
              </w:numPr>
              <w:ind w:firstLine="420" w:firstLineChars="200"/>
              <w:rPr>
                <w:rFonts w:hint="eastAsia" w:cs="宋体" w:asciiTheme="minorEastAsia" w:hAnsiTheme="minorEastAsia"/>
                <w:lang w:val="en-US" w:eastAsia="zh-CN"/>
              </w:rPr>
            </w:pPr>
            <w:r>
              <w:rPr>
                <w:rFonts w:hint="eastAsia" w:cs="宋体" w:asciiTheme="minorEastAsia" w:hAnsiTheme="minorEastAsia"/>
                <w:lang w:val="en-US" w:eastAsia="zh-CN"/>
              </w:rPr>
              <w:t>1、拟派项目负责人具有注册一级造价工程师（安装专业）的得 5分。（需提供证书扫描件或复印件并加盖公章）</w:t>
            </w:r>
          </w:p>
          <w:p w14:paraId="295C7DD0">
            <w:pPr>
              <w:numPr>
                <w:ilvl w:val="0"/>
                <w:numId w:val="0"/>
              </w:numPr>
              <w:ind w:firstLine="420" w:firstLineChars="200"/>
              <w:rPr>
                <w:rFonts w:hint="default" w:cs="宋体" w:asciiTheme="minorEastAsia" w:hAnsiTheme="minorEastAsia"/>
                <w:lang w:val="en-US" w:eastAsia="zh-CN"/>
              </w:rPr>
            </w:pPr>
            <w:r>
              <w:rPr>
                <w:rFonts w:hint="eastAsia" w:cs="宋体" w:asciiTheme="minorEastAsia" w:hAnsiTheme="minorEastAsia"/>
                <w:lang w:val="en-US" w:eastAsia="zh-CN"/>
              </w:rPr>
              <w:t>2、拟派项目负责人具有软件造价工程师的得 5分。（需提供证书扫描件或复印件并加盖公章）</w:t>
            </w:r>
          </w:p>
          <w:p w14:paraId="3BD6253C">
            <w:pPr>
              <w:rPr>
                <w:rFonts w:hint="default" w:cs="宋体" w:asciiTheme="minorEastAsia" w:hAnsiTheme="minorEastAsia"/>
                <w:lang w:val="en-US" w:eastAsia="zh-CN"/>
              </w:rPr>
            </w:pPr>
            <w:r>
              <w:rPr>
                <w:rFonts w:hint="eastAsia" w:cs="宋体" w:asciiTheme="minorEastAsia" w:hAnsiTheme="minorEastAsia"/>
                <w:b/>
                <w:bCs/>
                <w:lang w:val="en-US" w:eastAsia="zh-CN"/>
              </w:rPr>
              <w:t>注：响应文件中需提供上述人员证书扫描件</w:t>
            </w:r>
          </w:p>
        </w:tc>
        <w:tc>
          <w:tcPr>
            <w:tcW w:w="851" w:type="dxa"/>
            <w:tcBorders>
              <w:top w:val="single" w:color="auto" w:sz="4" w:space="0"/>
              <w:left w:val="single" w:color="auto" w:sz="4" w:space="0"/>
              <w:right w:val="single" w:color="auto" w:sz="4" w:space="0"/>
            </w:tcBorders>
            <w:vAlign w:val="center"/>
          </w:tcPr>
          <w:p w14:paraId="2A1CEBF3">
            <w:pPr>
              <w:spacing w:line="500" w:lineRule="exact"/>
              <w:ind w:firstLine="34" w:firstLineChars="16"/>
              <w:jc w:val="center"/>
              <w:rPr>
                <w:rFonts w:hint="eastAsia" w:cs="宋体" w:asciiTheme="minorEastAsia" w:hAnsiTheme="minorEastAsia"/>
                <w:b/>
                <w:bCs/>
              </w:rPr>
            </w:pPr>
            <w:r>
              <w:rPr>
                <w:rFonts w:hint="eastAsia" w:cs="宋体" w:asciiTheme="minorEastAsia" w:hAnsiTheme="minorEastAsia"/>
                <w:b/>
                <w:bCs/>
                <w:lang w:val="en-US" w:eastAsia="zh-CN"/>
              </w:rPr>
              <w:t>10</w:t>
            </w:r>
            <w:r>
              <w:rPr>
                <w:rFonts w:hint="eastAsia" w:cs="宋体" w:asciiTheme="minorEastAsia" w:hAnsiTheme="minorEastAsia"/>
                <w:b/>
                <w:bCs/>
              </w:rPr>
              <w:t>分</w:t>
            </w:r>
          </w:p>
        </w:tc>
      </w:tr>
      <w:tr w14:paraId="0E60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tcBorders>
              <w:left w:val="single" w:color="auto" w:sz="4" w:space="0"/>
              <w:right w:val="single" w:color="auto" w:sz="4" w:space="0"/>
            </w:tcBorders>
            <w:vAlign w:val="center"/>
          </w:tcPr>
          <w:p w14:paraId="0AD26C9E">
            <w:pPr>
              <w:spacing w:line="500" w:lineRule="exact"/>
              <w:jc w:val="center"/>
              <w:rPr>
                <w:rFonts w:hint="eastAsia" w:asciiTheme="minorEastAsia" w:hAnsiTheme="minorEastAsia"/>
                <w:b/>
                <w:bCs/>
              </w:rPr>
            </w:pPr>
          </w:p>
        </w:tc>
        <w:tc>
          <w:tcPr>
            <w:tcW w:w="1135" w:type="dxa"/>
            <w:tcBorders>
              <w:top w:val="single" w:color="auto" w:sz="4" w:space="0"/>
              <w:left w:val="single" w:color="auto" w:sz="4" w:space="0"/>
              <w:right w:val="single" w:color="auto" w:sz="4" w:space="0"/>
            </w:tcBorders>
            <w:vAlign w:val="center"/>
          </w:tcPr>
          <w:p w14:paraId="459DA3B1">
            <w:pP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项目组配备</w:t>
            </w:r>
          </w:p>
        </w:tc>
        <w:tc>
          <w:tcPr>
            <w:tcW w:w="8221" w:type="dxa"/>
            <w:tcBorders>
              <w:top w:val="single" w:color="auto" w:sz="4" w:space="0"/>
              <w:left w:val="single" w:color="auto" w:sz="4" w:space="0"/>
              <w:right w:val="single" w:color="auto" w:sz="4" w:space="0"/>
            </w:tcBorders>
            <w:vAlign w:val="center"/>
          </w:tcPr>
          <w:p w14:paraId="3525F3FD">
            <w:pPr>
              <w:spacing w:line="240" w:lineRule="atLeast"/>
              <w:rPr>
                <w:rFonts w:hint="eastAsia" w:asciiTheme="minorEastAsia" w:hAnsiTheme="minorEastAsia"/>
                <w:b w:val="0"/>
                <w:bCs w:val="0"/>
                <w:sz w:val="21"/>
                <w:szCs w:val="21"/>
                <w:lang w:val="en-US" w:eastAsia="zh-CN"/>
              </w:rPr>
            </w:pPr>
            <w:r>
              <w:rPr>
                <w:rFonts w:hint="eastAsia" w:asciiTheme="minorEastAsia" w:hAnsiTheme="minorEastAsia"/>
                <w:b w:val="0"/>
                <w:bCs w:val="0"/>
                <w:sz w:val="21"/>
                <w:szCs w:val="21"/>
                <w:lang w:val="en-US" w:eastAsia="zh-CN"/>
              </w:rPr>
              <w:t>拟派本项目组成员（除项目负责人外）：</w:t>
            </w:r>
          </w:p>
          <w:p w14:paraId="1C90645A">
            <w:pPr>
              <w:spacing w:line="240" w:lineRule="atLeast"/>
              <w:ind w:firstLine="420" w:firstLineChars="200"/>
              <w:rPr>
                <w:rFonts w:hint="default" w:asciiTheme="minorEastAsia" w:hAnsiTheme="minorEastAsia"/>
                <w:b w:val="0"/>
                <w:bCs w:val="0"/>
                <w:sz w:val="21"/>
                <w:szCs w:val="21"/>
                <w:lang w:val="en-US" w:eastAsia="zh-CN"/>
              </w:rPr>
            </w:pPr>
            <w:r>
              <w:rPr>
                <w:rFonts w:hint="eastAsia" w:asciiTheme="minorEastAsia" w:hAnsiTheme="minorEastAsia"/>
                <w:b w:val="0"/>
                <w:bCs w:val="0"/>
                <w:sz w:val="21"/>
                <w:szCs w:val="21"/>
                <w:lang w:val="en-US" w:eastAsia="zh-CN"/>
              </w:rPr>
              <w:t>1）项目组成员不少于2人的，得3分</w:t>
            </w:r>
          </w:p>
          <w:p w14:paraId="68C96984">
            <w:pPr>
              <w:spacing w:line="240" w:lineRule="atLeast"/>
              <w:ind w:firstLine="420" w:firstLineChars="200"/>
              <w:rPr>
                <w:rFonts w:hint="default" w:asciiTheme="minorEastAsia" w:hAnsiTheme="minorEastAsia"/>
                <w:b w:val="0"/>
                <w:bCs w:val="0"/>
                <w:sz w:val="21"/>
                <w:szCs w:val="21"/>
                <w:lang w:val="en-US" w:eastAsia="zh-CN"/>
              </w:rPr>
            </w:pPr>
            <w:r>
              <w:rPr>
                <w:rFonts w:hint="eastAsia" w:asciiTheme="minorEastAsia" w:hAnsiTheme="minorEastAsia"/>
                <w:b w:val="0"/>
                <w:bCs w:val="0"/>
                <w:sz w:val="21"/>
                <w:szCs w:val="21"/>
                <w:lang w:val="en-US" w:eastAsia="zh-CN"/>
              </w:rPr>
              <w:t>2）具有中级及以上职称证书的，得 3分</w:t>
            </w:r>
          </w:p>
          <w:p w14:paraId="7BC88683">
            <w:pPr>
              <w:spacing w:line="240" w:lineRule="atLeast"/>
              <w:ind w:firstLine="420" w:firstLineChars="200"/>
              <w:rPr>
                <w:rFonts w:hint="eastAsia" w:asciiTheme="minorEastAsia" w:hAnsiTheme="minorEastAsia"/>
                <w:b w:val="0"/>
                <w:bCs w:val="0"/>
                <w:sz w:val="21"/>
                <w:szCs w:val="21"/>
                <w:lang w:val="en-US" w:eastAsia="zh-CN"/>
              </w:rPr>
            </w:pPr>
            <w:r>
              <w:rPr>
                <w:rFonts w:hint="eastAsia" w:asciiTheme="minorEastAsia" w:hAnsiTheme="minorEastAsia"/>
                <w:b w:val="0"/>
                <w:bCs w:val="0"/>
                <w:sz w:val="21"/>
                <w:szCs w:val="21"/>
                <w:lang w:val="en-US" w:eastAsia="zh-CN"/>
              </w:rPr>
              <w:t>3）具有软件工程造价师证书的，得 3分。</w:t>
            </w:r>
          </w:p>
          <w:p w14:paraId="4927A03D">
            <w:pPr>
              <w:spacing w:line="240" w:lineRule="atLeast"/>
              <w:rPr>
                <w:rFonts w:hint="default"/>
                <w:sz w:val="21"/>
                <w:szCs w:val="21"/>
                <w:lang w:val="en-US" w:eastAsia="zh-CN"/>
              </w:rPr>
            </w:pPr>
            <w:r>
              <w:rPr>
                <w:rFonts w:hint="eastAsia" w:asciiTheme="minorEastAsia" w:hAnsiTheme="minorEastAsia"/>
                <w:b/>
                <w:bCs/>
                <w:sz w:val="21"/>
                <w:szCs w:val="21"/>
                <w:lang w:val="en-US" w:eastAsia="zh-CN"/>
              </w:rPr>
              <w:t>注：响应文件中需提供上述人员证书扫描件</w:t>
            </w:r>
          </w:p>
        </w:tc>
        <w:tc>
          <w:tcPr>
            <w:tcW w:w="851" w:type="dxa"/>
            <w:tcBorders>
              <w:top w:val="single" w:color="auto" w:sz="4" w:space="0"/>
              <w:left w:val="single" w:color="auto" w:sz="4" w:space="0"/>
              <w:bottom w:val="single" w:color="auto" w:sz="4" w:space="0"/>
              <w:right w:val="single" w:color="auto" w:sz="4" w:space="0"/>
            </w:tcBorders>
            <w:vAlign w:val="center"/>
          </w:tcPr>
          <w:p w14:paraId="3876FCA4">
            <w:pPr>
              <w:spacing w:line="500" w:lineRule="exact"/>
              <w:ind w:firstLine="34" w:firstLineChars="16"/>
              <w:jc w:val="center"/>
              <w:rPr>
                <w:rFonts w:hint="eastAsia" w:asciiTheme="minorEastAsia" w:hAnsiTheme="minorEastAsia"/>
                <w:b/>
                <w:bCs/>
              </w:rPr>
            </w:pPr>
            <w:r>
              <w:rPr>
                <w:rFonts w:hint="eastAsia" w:cs="宋体" w:asciiTheme="minorEastAsia" w:hAnsiTheme="minorEastAsia"/>
                <w:b/>
                <w:bCs/>
                <w:lang w:val="en-US" w:eastAsia="zh-CN"/>
              </w:rPr>
              <w:t>9</w:t>
            </w:r>
            <w:r>
              <w:rPr>
                <w:rFonts w:hint="eastAsia" w:cs="宋体" w:asciiTheme="minorEastAsia" w:hAnsiTheme="minorEastAsia"/>
                <w:b/>
                <w:bCs/>
              </w:rPr>
              <w:t>分</w:t>
            </w:r>
          </w:p>
        </w:tc>
      </w:tr>
      <w:tr w14:paraId="4F6A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709" w:type="dxa"/>
            <w:tcBorders>
              <w:top w:val="single" w:color="auto" w:sz="4" w:space="0"/>
              <w:left w:val="single" w:color="auto" w:sz="4" w:space="0"/>
              <w:bottom w:val="single" w:color="auto" w:sz="4" w:space="0"/>
              <w:right w:val="single" w:color="auto" w:sz="4" w:space="0"/>
            </w:tcBorders>
            <w:vAlign w:val="center"/>
          </w:tcPr>
          <w:p w14:paraId="5BE2C668">
            <w:pPr>
              <w:spacing w:line="500" w:lineRule="exact"/>
              <w:jc w:val="center"/>
              <w:rPr>
                <w:rFonts w:hint="eastAsia" w:asciiTheme="minorEastAsia" w:hAnsiTheme="minorEastAsia"/>
                <w:b/>
                <w:bCs/>
              </w:rPr>
            </w:pPr>
            <w:r>
              <w:rPr>
                <w:rFonts w:hint="eastAsia" w:cs="宋体" w:asciiTheme="minorEastAsia" w:hAnsiTheme="minorEastAsia"/>
                <w:b/>
                <w:bCs/>
              </w:rPr>
              <w:t>4</w:t>
            </w:r>
          </w:p>
        </w:tc>
        <w:tc>
          <w:tcPr>
            <w:tcW w:w="1135" w:type="dxa"/>
            <w:tcBorders>
              <w:top w:val="single" w:color="auto" w:sz="4" w:space="0"/>
              <w:left w:val="single" w:color="auto" w:sz="4" w:space="0"/>
              <w:bottom w:val="single" w:color="auto" w:sz="4" w:space="0"/>
              <w:right w:val="single" w:color="auto" w:sz="4" w:space="0"/>
            </w:tcBorders>
            <w:vAlign w:val="center"/>
          </w:tcPr>
          <w:p w14:paraId="25E26916">
            <w:pPr>
              <w:jc w:val="center"/>
              <w:rPr>
                <w:rFonts w:hint="eastAsia" w:cs="宋体" w:asciiTheme="minorEastAsia" w:hAnsiTheme="minorEastAsia" w:eastAsiaTheme="minorEastAsia"/>
                <w:lang w:val="en-US" w:eastAsia="zh-CN"/>
              </w:rPr>
            </w:pPr>
            <w:r>
              <w:rPr>
                <w:rFonts w:hint="eastAsia" w:cs="宋体" w:asciiTheme="minorEastAsia" w:hAnsiTheme="minorEastAsia"/>
                <w:lang w:val="en-US" w:eastAsia="zh-CN"/>
              </w:rPr>
              <w:t>供应商</w:t>
            </w:r>
          </w:p>
          <w:p w14:paraId="79E63AA5">
            <w:pPr>
              <w:jc w:val="center"/>
              <w:rPr>
                <w:rFonts w:hint="eastAsia" w:asciiTheme="minorEastAsia" w:hAnsiTheme="minorEastAsia"/>
              </w:rPr>
            </w:pPr>
            <w:r>
              <w:rPr>
                <w:rFonts w:hint="eastAsia" w:cs="宋体" w:asciiTheme="minorEastAsia" w:hAnsiTheme="minorEastAsia"/>
              </w:rPr>
              <w:t>业绩</w:t>
            </w:r>
          </w:p>
        </w:tc>
        <w:tc>
          <w:tcPr>
            <w:tcW w:w="8221" w:type="dxa"/>
            <w:tcBorders>
              <w:top w:val="single" w:color="auto" w:sz="4" w:space="0"/>
              <w:left w:val="single" w:color="auto" w:sz="4" w:space="0"/>
              <w:bottom w:val="single" w:color="auto" w:sz="4" w:space="0"/>
              <w:right w:val="single" w:color="auto" w:sz="4" w:space="0"/>
            </w:tcBorders>
            <w:vAlign w:val="center"/>
          </w:tcPr>
          <w:p w14:paraId="1064BAFD">
            <w:pPr>
              <w:spacing w:line="400" w:lineRule="exact"/>
              <w:rPr>
                <w:rFonts w:hint="eastAsia" w:cs="宋体" w:asciiTheme="minorEastAsia" w:hAnsiTheme="minorEastAsia"/>
              </w:rPr>
            </w:pPr>
            <w:r>
              <w:rPr>
                <w:rFonts w:hint="eastAsia" w:cs="宋体" w:asciiTheme="minorEastAsia" w:hAnsiTheme="minorEastAsia"/>
                <w:lang w:val="en-US" w:eastAsia="zh-CN"/>
              </w:rPr>
              <w:t>供应商</w:t>
            </w:r>
            <w:r>
              <w:rPr>
                <w:rFonts w:hint="eastAsia" w:cs="宋体" w:asciiTheme="minorEastAsia" w:hAnsiTheme="minorEastAsia"/>
              </w:rPr>
              <w:t>自</w:t>
            </w:r>
            <w:r>
              <w:rPr>
                <w:rFonts w:cs="宋体" w:asciiTheme="minorEastAsia" w:hAnsiTheme="minorEastAsia"/>
              </w:rPr>
              <w:t>20</w:t>
            </w:r>
            <w:r>
              <w:rPr>
                <w:rFonts w:hint="eastAsia" w:cs="宋体" w:asciiTheme="minorEastAsia" w:hAnsiTheme="minorEastAsia"/>
              </w:rPr>
              <w:t>21年1月1日至今（以合同签订时间为准），具有信息化项目</w:t>
            </w:r>
            <w:r>
              <w:rPr>
                <w:rFonts w:hint="eastAsia" w:cs="宋体" w:asciiTheme="minorEastAsia" w:hAnsiTheme="minorEastAsia"/>
                <w:lang w:val="en-US" w:eastAsia="zh-CN"/>
              </w:rPr>
              <w:t>结算审计</w:t>
            </w:r>
            <w:r>
              <w:rPr>
                <w:rFonts w:hint="eastAsia" w:cs="宋体" w:asciiTheme="minorEastAsia" w:hAnsiTheme="minorEastAsia"/>
              </w:rPr>
              <w:t>业绩的，每具有一个得</w:t>
            </w:r>
            <w:r>
              <w:rPr>
                <w:rFonts w:hint="eastAsia" w:cs="宋体" w:asciiTheme="minorEastAsia" w:hAnsiTheme="minorEastAsia"/>
                <w:lang w:val="en-US" w:eastAsia="zh-CN"/>
              </w:rPr>
              <w:t>6</w:t>
            </w:r>
            <w:r>
              <w:rPr>
                <w:rFonts w:hint="eastAsia" w:cs="宋体" w:asciiTheme="minorEastAsia" w:hAnsiTheme="minorEastAsia"/>
              </w:rPr>
              <w:t>分：</w:t>
            </w:r>
          </w:p>
          <w:p w14:paraId="036636E2">
            <w:pPr>
              <w:rPr>
                <w:rFonts w:hint="eastAsia" w:asciiTheme="minorEastAsia" w:hAnsiTheme="minorEastAsia"/>
                <w:kern w:val="0"/>
              </w:rPr>
            </w:pPr>
            <w:r>
              <w:rPr>
                <w:rFonts w:hint="eastAsia" w:cs="宋体" w:asciiTheme="minorEastAsia" w:hAnsiTheme="minorEastAsia"/>
                <w:b/>
                <w:bCs/>
              </w:rPr>
              <w:t>注：</w:t>
            </w:r>
            <w:r>
              <w:rPr>
                <w:rFonts w:cs="宋体" w:asciiTheme="minorEastAsia" w:hAnsiTheme="minorEastAsia"/>
                <w:b/>
                <w:bCs/>
              </w:rPr>
              <w:t>投标文件中须提供业绩合同证明材料扫描件</w:t>
            </w:r>
            <w:r>
              <w:rPr>
                <w:rFonts w:hint="eastAsia" w:cs="宋体" w:asciiTheme="minorEastAsia" w:hAnsiTheme="minorEastAsia"/>
                <w:b/>
                <w:bCs/>
              </w:rPr>
              <w:t>。</w:t>
            </w:r>
          </w:p>
        </w:tc>
        <w:tc>
          <w:tcPr>
            <w:tcW w:w="851" w:type="dxa"/>
            <w:tcBorders>
              <w:top w:val="single" w:color="auto" w:sz="4" w:space="0"/>
              <w:left w:val="single" w:color="auto" w:sz="4" w:space="0"/>
              <w:bottom w:val="single" w:color="auto" w:sz="4" w:space="0"/>
              <w:right w:val="single" w:color="auto" w:sz="4" w:space="0"/>
            </w:tcBorders>
            <w:vAlign w:val="center"/>
          </w:tcPr>
          <w:p w14:paraId="03542DB5">
            <w:pPr>
              <w:spacing w:line="500" w:lineRule="exact"/>
              <w:ind w:firstLine="34" w:firstLineChars="16"/>
              <w:jc w:val="center"/>
              <w:rPr>
                <w:rFonts w:hint="eastAsia" w:asciiTheme="minorEastAsia" w:hAnsiTheme="minorEastAsia"/>
                <w:b/>
                <w:bCs/>
              </w:rPr>
            </w:pPr>
            <w:r>
              <w:rPr>
                <w:rFonts w:hint="eastAsia" w:cs="宋体" w:asciiTheme="minorEastAsia" w:hAnsiTheme="minorEastAsia"/>
                <w:b/>
                <w:bCs/>
                <w:lang w:val="en-US" w:eastAsia="zh-CN"/>
              </w:rPr>
              <w:t>12</w:t>
            </w:r>
            <w:r>
              <w:rPr>
                <w:rFonts w:hint="eastAsia" w:cs="宋体" w:asciiTheme="minorEastAsia" w:hAnsiTheme="minorEastAsia"/>
                <w:b/>
                <w:bCs/>
              </w:rPr>
              <w:t>分</w:t>
            </w:r>
          </w:p>
        </w:tc>
      </w:tr>
      <w:tr w14:paraId="1D1A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3899D4D0">
            <w:pPr>
              <w:spacing w:line="500" w:lineRule="exact"/>
              <w:jc w:val="center"/>
              <w:rPr>
                <w:rFonts w:hint="eastAsia" w:asciiTheme="minorEastAsia" w:hAnsiTheme="minorEastAsia"/>
                <w:b/>
                <w:bCs/>
              </w:rPr>
            </w:pPr>
            <w:r>
              <w:rPr>
                <w:rFonts w:hint="eastAsia" w:cs="宋体" w:asciiTheme="minorEastAsia" w:hAnsiTheme="minorEastAsia"/>
                <w:b/>
                <w:bCs/>
              </w:rPr>
              <w:t>5</w:t>
            </w:r>
          </w:p>
        </w:tc>
        <w:tc>
          <w:tcPr>
            <w:tcW w:w="1135" w:type="dxa"/>
            <w:tcBorders>
              <w:top w:val="single" w:color="auto" w:sz="4" w:space="0"/>
              <w:left w:val="single" w:color="auto" w:sz="4" w:space="0"/>
              <w:bottom w:val="single" w:color="auto" w:sz="4" w:space="0"/>
              <w:right w:val="single" w:color="auto" w:sz="4" w:space="0"/>
            </w:tcBorders>
            <w:vAlign w:val="center"/>
          </w:tcPr>
          <w:p w14:paraId="00860B6E">
            <w:pPr>
              <w:rPr>
                <w:rFonts w:hint="eastAsia" w:asciiTheme="minorEastAsia" w:hAnsiTheme="minorEastAsia"/>
              </w:rPr>
            </w:pPr>
            <w:r>
              <w:rPr>
                <w:rFonts w:hint="eastAsia" w:cs="宋体" w:asciiTheme="minorEastAsia" w:hAnsiTheme="minorEastAsia"/>
              </w:rPr>
              <w:t>企业实力</w:t>
            </w:r>
          </w:p>
        </w:tc>
        <w:tc>
          <w:tcPr>
            <w:tcW w:w="8221" w:type="dxa"/>
            <w:tcBorders>
              <w:top w:val="single" w:color="auto" w:sz="4" w:space="0"/>
              <w:left w:val="single" w:color="auto" w:sz="4" w:space="0"/>
              <w:bottom w:val="single" w:color="auto" w:sz="4" w:space="0"/>
              <w:right w:val="single" w:color="auto" w:sz="4" w:space="0"/>
            </w:tcBorders>
            <w:vAlign w:val="center"/>
          </w:tcPr>
          <w:p w14:paraId="5C4924CB">
            <w:pPr>
              <w:spacing w:line="400" w:lineRule="exact"/>
              <w:rPr>
                <w:rFonts w:cs="宋体"/>
              </w:rPr>
            </w:pPr>
            <w:r>
              <w:rPr>
                <w:rFonts w:cs="宋体" w:asciiTheme="minorEastAsia" w:hAnsiTheme="minorEastAsia"/>
              </w:rPr>
              <w:t>(</w:t>
            </w:r>
            <w:r>
              <w:rPr>
                <w:rFonts w:hint="eastAsia" w:cs="宋体" w:asciiTheme="minorEastAsia" w:hAnsiTheme="minorEastAsia"/>
              </w:rPr>
              <w:t>1</w:t>
            </w:r>
            <w:r>
              <w:rPr>
                <w:rFonts w:cs="宋体" w:asciiTheme="minorEastAsia" w:hAnsiTheme="minorEastAsia"/>
              </w:rPr>
              <w:t>)</w:t>
            </w:r>
            <w:r>
              <w:rPr>
                <w:rFonts w:hint="eastAsia" w:cs="宋体"/>
              </w:rPr>
              <w:t>具有</w:t>
            </w:r>
            <w:r>
              <w:rPr>
                <w:rFonts w:hint="eastAsia" w:cs="宋体"/>
                <w:lang w:val="en-US" w:eastAsia="zh-CN"/>
              </w:rPr>
              <w:t>质量</w:t>
            </w:r>
            <w:r>
              <w:rPr>
                <w:rFonts w:hint="eastAsia" w:cs="宋体"/>
              </w:rPr>
              <w:t>管理体系认证证书，得</w:t>
            </w:r>
            <w:r>
              <w:rPr>
                <w:rFonts w:hint="eastAsia" w:cs="宋体"/>
                <w:lang w:val="en-US" w:eastAsia="zh-CN"/>
              </w:rPr>
              <w:t>3</w:t>
            </w:r>
            <w:r>
              <w:rPr>
                <w:rFonts w:hint="eastAsia" w:cs="宋体"/>
              </w:rPr>
              <w:t xml:space="preserve">分； </w:t>
            </w:r>
          </w:p>
          <w:p w14:paraId="7D156396">
            <w:pPr>
              <w:spacing w:line="400" w:lineRule="exact"/>
              <w:rPr>
                <w:rFonts w:ascii="Helvetica" w:hAnsi="Helvetica"/>
                <w:color w:val="333333"/>
                <w:szCs w:val="21"/>
                <w:shd w:val="clear" w:color="auto" w:fill="FFFFFF"/>
              </w:rPr>
            </w:pPr>
            <w:r>
              <w:rPr>
                <w:rFonts w:cs="宋体" w:asciiTheme="minorEastAsia" w:hAnsiTheme="minorEastAsia"/>
              </w:rPr>
              <w:t>(</w:t>
            </w:r>
            <w:r>
              <w:rPr>
                <w:rFonts w:hint="eastAsia" w:cs="宋体" w:asciiTheme="minorEastAsia" w:hAnsiTheme="minorEastAsia"/>
              </w:rPr>
              <w:t>2</w:t>
            </w:r>
            <w:r>
              <w:rPr>
                <w:rFonts w:cs="宋体" w:asciiTheme="minorEastAsia" w:hAnsiTheme="minorEastAsia"/>
              </w:rPr>
              <w:t>)</w:t>
            </w:r>
            <w:r>
              <w:rPr>
                <w:rFonts w:hint="eastAsia" w:ascii="Helvetica" w:hAnsi="Helvetica"/>
                <w:color w:val="333333"/>
                <w:szCs w:val="21"/>
                <w:shd w:val="clear" w:color="auto" w:fill="FFFFFF"/>
              </w:rPr>
              <w:t>具有</w:t>
            </w:r>
            <w:r>
              <w:rPr>
                <w:rFonts w:hint="eastAsia" w:ascii="Helvetica" w:hAnsi="Helvetica"/>
                <w:color w:val="333333"/>
                <w:szCs w:val="21"/>
                <w:shd w:val="clear" w:color="auto" w:fill="FFFFFF"/>
                <w:lang w:val="en-US" w:eastAsia="zh-CN"/>
              </w:rPr>
              <w:t>环境</w:t>
            </w:r>
            <w:r>
              <w:rPr>
                <w:rFonts w:ascii="Helvetica" w:hAnsi="Helvetica"/>
                <w:color w:val="333333"/>
                <w:szCs w:val="21"/>
                <w:shd w:val="clear" w:color="auto" w:fill="FFFFFF"/>
              </w:rPr>
              <w:t>管理体系认证</w:t>
            </w:r>
            <w:r>
              <w:rPr>
                <w:rFonts w:hint="eastAsia" w:ascii="Helvetica" w:hAnsi="Helvetica"/>
                <w:color w:val="333333"/>
                <w:szCs w:val="21"/>
                <w:shd w:val="clear" w:color="auto" w:fill="FFFFFF"/>
              </w:rPr>
              <w:t>证书，</w:t>
            </w:r>
            <w:r>
              <w:rPr>
                <w:rFonts w:hint="eastAsia" w:cs="宋体"/>
              </w:rPr>
              <w:t>得</w:t>
            </w:r>
            <w:r>
              <w:rPr>
                <w:rFonts w:hint="eastAsia" w:cs="宋体"/>
                <w:lang w:val="en-US" w:eastAsia="zh-CN"/>
              </w:rPr>
              <w:t>3</w:t>
            </w:r>
            <w:r>
              <w:rPr>
                <w:rFonts w:hint="eastAsia" w:cs="宋体"/>
              </w:rPr>
              <w:t>分</w:t>
            </w:r>
            <w:r>
              <w:rPr>
                <w:rFonts w:hint="eastAsia" w:ascii="Helvetica" w:hAnsi="Helvetica"/>
                <w:color w:val="333333"/>
                <w:szCs w:val="21"/>
                <w:shd w:val="clear" w:color="auto" w:fill="FFFFFF"/>
              </w:rPr>
              <w:t>；</w:t>
            </w:r>
          </w:p>
          <w:p w14:paraId="389A5FF0">
            <w:pPr>
              <w:spacing w:line="400" w:lineRule="exact"/>
              <w:rPr>
                <w:rFonts w:cs="宋体"/>
              </w:rPr>
            </w:pPr>
            <w:r>
              <w:rPr>
                <w:rFonts w:hint="eastAsia" w:cs="宋体" w:asciiTheme="minorEastAsia" w:hAnsiTheme="minorEastAsia"/>
              </w:rPr>
              <w:t>(3</w:t>
            </w:r>
            <w:r>
              <w:rPr>
                <w:rFonts w:cs="宋体" w:asciiTheme="minorEastAsia" w:hAnsiTheme="minorEastAsia"/>
              </w:rPr>
              <w:t>)</w:t>
            </w:r>
            <w:r>
              <w:rPr>
                <w:rFonts w:hint="eastAsia" w:cs="宋体"/>
              </w:rPr>
              <w:t>具有</w:t>
            </w:r>
            <w:r>
              <w:rPr>
                <w:rFonts w:hint="eastAsia" w:cs="宋体"/>
                <w:lang w:val="en-US" w:eastAsia="zh-CN"/>
              </w:rPr>
              <w:t>职业健康安全</w:t>
            </w:r>
            <w:r>
              <w:rPr>
                <w:rFonts w:cs="宋体"/>
              </w:rPr>
              <w:t>管理体系认证证书</w:t>
            </w:r>
            <w:r>
              <w:rPr>
                <w:rFonts w:hint="eastAsia" w:cs="宋体"/>
              </w:rPr>
              <w:t>，得</w:t>
            </w:r>
            <w:r>
              <w:rPr>
                <w:rFonts w:hint="eastAsia" w:cs="宋体"/>
                <w:lang w:val="en-US" w:eastAsia="zh-CN"/>
              </w:rPr>
              <w:t>3</w:t>
            </w:r>
            <w:r>
              <w:rPr>
                <w:rFonts w:hint="eastAsia" w:cs="宋体"/>
              </w:rPr>
              <w:t>分；</w:t>
            </w:r>
          </w:p>
          <w:p w14:paraId="03ABF34A">
            <w:pPr>
              <w:rPr>
                <w:rFonts w:hint="eastAsia" w:asciiTheme="minorEastAsia" w:hAnsiTheme="minorEastAsia"/>
              </w:rPr>
            </w:pPr>
            <w:r>
              <w:rPr>
                <w:rFonts w:hint="eastAsia" w:cs="宋体" w:asciiTheme="minorEastAsia" w:hAnsiTheme="minorEastAsia"/>
                <w:b/>
                <w:bCs/>
                <w:kern w:val="0"/>
              </w:rPr>
              <w:t>注：</w:t>
            </w:r>
            <w:r>
              <w:rPr>
                <w:rFonts w:cs="宋体" w:asciiTheme="minorEastAsia" w:hAnsiTheme="minorEastAsia"/>
                <w:b/>
                <w:bCs/>
                <w:kern w:val="0"/>
              </w:rPr>
              <w:t>投标文件中提供相应的证书扫描件；</w:t>
            </w:r>
          </w:p>
        </w:tc>
        <w:tc>
          <w:tcPr>
            <w:tcW w:w="851" w:type="dxa"/>
            <w:tcBorders>
              <w:top w:val="single" w:color="auto" w:sz="4" w:space="0"/>
              <w:left w:val="single" w:color="auto" w:sz="4" w:space="0"/>
              <w:bottom w:val="single" w:color="auto" w:sz="4" w:space="0"/>
              <w:right w:val="single" w:color="auto" w:sz="4" w:space="0"/>
            </w:tcBorders>
            <w:vAlign w:val="center"/>
          </w:tcPr>
          <w:p w14:paraId="76A117CD">
            <w:pPr>
              <w:spacing w:line="500" w:lineRule="exact"/>
              <w:ind w:firstLine="34" w:firstLineChars="16"/>
              <w:jc w:val="center"/>
              <w:rPr>
                <w:rFonts w:hint="eastAsia" w:asciiTheme="minorEastAsia" w:hAnsiTheme="minorEastAsia"/>
                <w:b/>
                <w:bCs/>
              </w:rPr>
            </w:pPr>
            <w:r>
              <w:rPr>
                <w:rFonts w:hint="eastAsia" w:cs="宋体" w:asciiTheme="minorEastAsia" w:hAnsiTheme="minorEastAsia"/>
                <w:b/>
                <w:bCs/>
                <w:lang w:val="en-US" w:eastAsia="zh-CN"/>
              </w:rPr>
              <w:t>9</w:t>
            </w:r>
            <w:r>
              <w:rPr>
                <w:rFonts w:hint="eastAsia" w:cs="宋体" w:asciiTheme="minorEastAsia" w:hAnsiTheme="minorEastAsia"/>
                <w:b/>
                <w:bCs/>
              </w:rPr>
              <w:t>分</w:t>
            </w:r>
          </w:p>
        </w:tc>
      </w:tr>
      <w:tr w14:paraId="3759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916" w:type="dxa"/>
            <w:gridSpan w:val="4"/>
            <w:tcBorders>
              <w:top w:val="single" w:color="auto" w:sz="4" w:space="0"/>
              <w:left w:val="single" w:color="auto" w:sz="4" w:space="0"/>
              <w:bottom w:val="single" w:color="auto" w:sz="4" w:space="0"/>
              <w:right w:val="single" w:color="auto" w:sz="4" w:space="0"/>
            </w:tcBorders>
            <w:vAlign w:val="center"/>
          </w:tcPr>
          <w:p w14:paraId="2F67ACB5">
            <w:pPr>
              <w:spacing w:line="500" w:lineRule="exact"/>
              <w:jc w:val="center"/>
              <w:rPr>
                <w:rFonts w:hint="eastAsia" w:asciiTheme="minorEastAsia" w:hAnsiTheme="minorEastAsia"/>
                <w:b/>
                <w:bCs/>
              </w:rPr>
            </w:pPr>
            <w:r>
              <w:rPr>
                <w:rFonts w:hint="eastAsia" w:cs="宋体" w:asciiTheme="minorEastAsia" w:hAnsiTheme="minorEastAsia"/>
                <w:b/>
                <w:bCs/>
                <w:spacing w:val="10"/>
                <w:sz w:val="24"/>
                <w:szCs w:val="24"/>
              </w:rPr>
              <w:t>二、价格评审标准（1</w:t>
            </w:r>
            <w:r>
              <w:rPr>
                <w:rFonts w:cs="宋体" w:asciiTheme="minorEastAsia" w:hAnsiTheme="minorEastAsia"/>
                <w:b/>
                <w:bCs/>
                <w:spacing w:val="10"/>
                <w:sz w:val="24"/>
                <w:szCs w:val="24"/>
              </w:rPr>
              <w:t>0</w:t>
            </w:r>
            <w:r>
              <w:rPr>
                <w:rFonts w:hint="eastAsia" w:cs="宋体" w:asciiTheme="minorEastAsia" w:hAnsiTheme="minorEastAsia"/>
                <w:b/>
                <w:bCs/>
                <w:spacing w:val="10"/>
                <w:sz w:val="24"/>
                <w:szCs w:val="24"/>
              </w:rPr>
              <w:t>分）</w:t>
            </w:r>
          </w:p>
        </w:tc>
      </w:tr>
      <w:tr w14:paraId="4C30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7B57D88A">
            <w:pPr>
              <w:spacing w:line="500" w:lineRule="exact"/>
              <w:rPr>
                <w:rFonts w:hint="eastAsia" w:asciiTheme="minorEastAsia" w:hAnsiTheme="minorEastAsia"/>
                <w:b/>
                <w:bCs/>
              </w:rPr>
            </w:pPr>
            <w:r>
              <w:rPr>
                <w:rFonts w:hint="eastAsia" w:asciiTheme="minorEastAsia" w:hAnsiTheme="minorEastAsia"/>
                <w:b/>
                <w:bCs/>
              </w:rPr>
              <w:t>1</w:t>
            </w:r>
          </w:p>
        </w:tc>
        <w:tc>
          <w:tcPr>
            <w:tcW w:w="1135" w:type="dxa"/>
            <w:tcBorders>
              <w:top w:val="single" w:color="auto" w:sz="4" w:space="0"/>
              <w:left w:val="single" w:color="auto" w:sz="4" w:space="0"/>
              <w:bottom w:val="single" w:color="auto" w:sz="4" w:space="0"/>
              <w:right w:val="single" w:color="auto" w:sz="4" w:space="0"/>
            </w:tcBorders>
            <w:vAlign w:val="center"/>
          </w:tcPr>
          <w:p w14:paraId="741B1121">
            <w:pPr>
              <w:jc w:val="center"/>
              <w:rPr>
                <w:rFonts w:hint="eastAsia" w:asciiTheme="minorEastAsia" w:hAnsiTheme="minorEastAsia"/>
              </w:rPr>
            </w:pPr>
            <w:r>
              <w:rPr>
                <w:rFonts w:hint="eastAsia" w:asciiTheme="minorEastAsia" w:hAnsiTheme="minorEastAsia"/>
              </w:rPr>
              <w:t>价格评审</w:t>
            </w:r>
          </w:p>
        </w:tc>
        <w:tc>
          <w:tcPr>
            <w:tcW w:w="8221" w:type="dxa"/>
            <w:tcBorders>
              <w:top w:val="single" w:color="auto" w:sz="4" w:space="0"/>
              <w:left w:val="single" w:color="auto" w:sz="4" w:space="0"/>
              <w:bottom w:val="single" w:color="auto" w:sz="4" w:space="0"/>
              <w:right w:val="single" w:color="auto" w:sz="4" w:space="0"/>
            </w:tcBorders>
            <w:vAlign w:val="center"/>
          </w:tcPr>
          <w:p w14:paraId="4D6D0783">
            <w:pPr>
              <w:pStyle w:val="11"/>
              <w:ind w:left="0" w:leftChars="0" w:firstLine="0" w:firstLineChars="0"/>
              <w:rPr>
                <w:rFonts w:hint="eastAsia" w:asciiTheme="minorEastAsia" w:hAnsiTheme="minorEastAsia"/>
                <w:sz w:val="21"/>
                <w:szCs w:val="21"/>
              </w:rPr>
            </w:pPr>
            <w:r>
              <w:rPr>
                <w:sz w:val="21"/>
                <w:szCs w:val="21"/>
              </w:rPr>
              <w:t>价格分统一采用低价优先法，即满足招标文件要求且投标价格最低的投标报价为评标基准价，其价格分为满分10分。其他</w:t>
            </w:r>
            <w:r>
              <w:rPr>
                <w:rFonts w:hint="eastAsia"/>
                <w:sz w:val="21"/>
                <w:szCs w:val="21"/>
                <w:lang w:val="en-US" w:eastAsia="zh-CN"/>
              </w:rPr>
              <w:t>供应商</w:t>
            </w:r>
            <w:r>
              <w:rPr>
                <w:sz w:val="21"/>
                <w:szCs w:val="21"/>
              </w:rPr>
              <w:t>的价格分统一按照下列公式计算：投标报价得分＝（评标基准价/投标报价）×10％×100</w:t>
            </w:r>
          </w:p>
        </w:tc>
        <w:tc>
          <w:tcPr>
            <w:tcW w:w="851" w:type="dxa"/>
            <w:tcBorders>
              <w:top w:val="single" w:color="auto" w:sz="4" w:space="0"/>
              <w:left w:val="single" w:color="auto" w:sz="4" w:space="0"/>
              <w:bottom w:val="single" w:color="auto" w:sz="4" w:space="0"/>
              <w:right w:val="single" w:color="auto" w:sz="4" w:space="0"/>
            </w:tcBorders>
            <w:vAlign w:val="center"/>
          </w:tcPr>
          <w:p w14:paraId="6AC6156A">
            <w:pPr>
              <w:spacing w:line="500" w:lineRule="exact"/>
              <w:ind w:firstLine="34" w:firstLineChars="16"/>
              <w:jc w:val="center"/>
              <w:rPr>
                <w:rFonts w:hint="eastAsia" w:cs="宋体" w:asciiTheme="minorEastAsia" w:hAnsiTheme="minorEastAsia"/>
                <w:b/>
                <w:bCs/>
              </w:rPr>
            </w:pPr>
            <w:r>
              <w:rPr>
                <w:rFonts w:hint="eastAsia" w:cs="宋体" w:asciiTheme="minorEastAsia" w:hAnsiTheme="minorEastAsia"/>
                <w:b/>
                <w:bCs/>
              </w:rPr>
              <w:t>1</w:t>
            </w:r>
            <w:r>
              <w:rPr>
                <w:rFonts w:cs="宋体" w:asciiTheme="minorEastAsia" w:hAnsiTheme="minorEastAsia"/>
                <w:b/>
                <w:bCs/>
              </w:rPr>
              <w:t>0</w:t>
            </w:r>
            <w:r>
              <w:rPr>
                <w:rFonts w:hint="eastAsia" w:cs="宋体" w:asciiTheme="minorEastAsia" w:hAnsiTheme="minorEastAsia"/>
                <w:b/>
                <w:bCs/>
              </w:rPr>
              <w:t>分</w:t>
            </w:r>
          </w:p>
        </w:tc>
      </w:tr>
      <w:tr w14:paraId="0F8D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77238985">
            <w:pPr>
              <w:spacing w:line="500" w:lineRule="exact"/>
              <w:jc w:val="center"/>
              <w:rPr>
                <w:rFonts w:hint="eastAsia" w:asciiTheme="minorEastAsia" w:hAnsiTheme="minorEastAsia"/>
                <w:b/>
                <w:bCs/>
              </w:rPr>
            </w:pPr>
          </w:p>
        </w:tc>
        <w:tc>
          <w:tcPr>
            <w:tcW w:w="1135" w:type="dxa"/>
            <w:tcBorders>
              <w:top w:val="single" w:color="auto" w:sz="4" w:space="0"/>
              <w:left w:val="single" w:color="auto" w:sz="4" w:space="0"/>
              <w:bottom w:val="single" w:color="auto" w:sz="4" w:space="0"/>
              <w:right w:val="single" w:color="auto" w:sz="4" w:space="0"/>
            </w:tcBorders>
            <w:vAlign w:val="center"/>
          </w:tcPr>
          <w:p w14:paraId="295FB40C">
            <w:pPr>
              <w:jc w:val="center"/>
              <w:rPr>
                <w:rFonts w:hint="eastAsia" w:cs="宋体" w:asciiTheme="minorEastAsia" w:hAnsiTheme="minorEastAsia"/>
              </w:rPr>
            </w:pPr>
            <w:r>
              <w:rPr>
                <w:rFonts w:hint="eastAsia" w:cs="宋体" w:asciiTheme="minorEastAsia" w:hAnsiTheme="minorEastAsia"/>
              </w:rPr>
              <w:t>合计</w:t>
            </w:r>
          </w:p>
        </w:tc>
        <w:tc>
          <w:tcPr>
            <w:tcW w:w="8221" w:type="dxa"/>
            <w:tcBorders>
              <w:top w:val="single" w:color="auto" w:sz="4" w:space="0"/>
              <w:left w:val="single" w:color="auto" w:sz="4" w:space="0"/>
              <w:bottom w:val="single" w:color="auto" w:sz="4" w:space="0"/>
              <w:right w:val="single" w:color="auto" w:sz="4" w:space="0"/>
            </w:tcBorders>
            <w:vAlign w:val="center"/>
          </w:tcPr>
          <w:p w14:paraId="578AE63B">
            <w:pPr>
              <w:rPr>
                <w:rFonts w:hint="eastAsia" w:asciiTheme="minorEastAsia" w:hAnsi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14:paraId="06AF5648">
            <w:pPr>
              <w:spacing w:line="500" w:lineRule="exact"/>
              <w:ind w:firstLine="34" w:firstLineChars="16"/>
              <w:jc w:val="center"/>
              <w:rPr>
                <w:rFonts w:hint="eastAsia" w:cs="宋体" w:asciiTheme="minorEastAsia" w:hAnsiTheme="minorEastAsia"/>
                <w:b/>
                <w:bCs/>
              </w:rPr>
            </w:pPr>
            <w:r>
              <w:rPr>
                <w:rFonts w:hint="eastAsia" w:cs="宋体" w:asciiTheme="minorEastAsia" w:hAnsiTheme="minorEastAsia"/>
                <w:b/>
                <w:bCs/>
              </w:rPr>
              <w:t>1</w:t>
            </w:r>
            <w:r>
              <w:rPr>
                <w:rFonts w:cs="宋体" w:asciiTheme="minorEastAsia" w:hAnsiTheme="minorEastAsia"/>
                <w:b/>
                <w:bCs/>
              </w:rPr>
              <w:t>00</w:t>
            </w:r>
            <w:r>
              <w:rPr>
                <w:rFonts w:hint="eastAsia" w:cs="宋体" w:asciiTheme="minorEastAsia" w:hAnsiTheme="minorEastAsia"/>
                <w:b/>
                <w:bCs/>
              </w:rPr>
              <w:t>分</w:t>
            </w:r>
          </w:p>
        </w:tc>
      </w:tr>
    </w:tbl>
    <w:p w14:paraId="48CEE545">
      <w:pPr>
        <w:tabs>
          <w:tab w:val="left" w:pos="0"/>
        </w:tabs>
        <w:adjustRightInd w:val="0"/>
        <w:snapToGrid w:val="0"/>
        <w:spacing w:line="360" w:lineRule="auto"/>
        <w:ind w:firstLine="482" w:firstLineChars="200"/>
        <w:jc w:val="left"/>
        <w:rPr>
          <w:rFonts w:hint="eastAsia" w:cs="宋体" w:asciiTheme="minorEastAsia" w:hAnsiTheme="minorEastAsia"/>
          <w:b/>
          <w:kern w:val="0"/>
          <w:sz w:val="24"/>
          <w:szCs w:val="24"/>
        </w:rPr>
      </w:pPr>
      <w:r>
        <w:rPr>
          <w:rFonts w:hint="eastAsia" w:cs="宋体" w:asciiTheme="minorEastAsia" w:hAnsiTheme="minorEastAsia"/>
          <w:b/>
          <w:kern w:val="0"/>
          <w:sz w:val="24"/>
          <w:szCs w:val="24"/>
          <w:lang w:val="en-US" w:eastAsia="zh-CN"/>
        </w:rPr>
        <w:t>供应商</w:t>
      </w:r>
      <w:r>
        <w:rPr>
          <w:rFonts w:cs="宋体" w:asciiTheme="minorEastAsia" w:hAnsiTheme="minorEastAsia"/>
          <w:b/>
          <w:kern w:val="0"/>
          <w:sz w:val="24"/>
          <w:szCs w:val="24"/>
        </w:rPr>
        <w:t>最终得分汇总</w:t>
      </w:r>
    </w:p>
    <w:p w14:paraId="443E5637">
      <w:pPr>
        <w:tabs>
          <w:tab w:val="left" w:pos="720"/>
        </w:tabs>
        <w:spacing w:line="560" w:lineRule="exact"/>
        <w:ind w:firstLine="480" w:firstLineChars="200"/>
        <w:jc w:val="left"/>
        <w:rPr>
          <w:rFonts w:hint="eastAsia"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供应商</w:t>
      </w:r>
      <w:r>
        <w:rPr>
          <w:rFonts w:cs="宋体" w:asciiTheme="minorEastAsia" w:hAnsiTheme="minorEastAsia"/>
          <w:kern w:val="0"/>
          <w:sz w:val="24"/>
          <w:szCs w:val="24"/>
        </w:rPr>
        <w:t>最终得分=</w:t>
      </w:r>
      <w:r>
        <w:rPr>
          <w:rFonts w:hint="eastAsia" w:cs="宋体" w:asciiTheme="minorEastAsia" w:hAnsiTheme="minorEastAsia"/>
          <w:kern w:val="0"/>
          <w:sz w:val="24"/>
          <w:szCs w:val="24"/>
        </w:rPr>
        <w:t>资信</w:t>
      </w:r>
      <w:r>
        <w:rPr>
          <w:rFonts w:cs="宋体" w:asciiTheme="minorEastAsia" w:hAnsiTheme="minorEastAsia"/>
          <w:kern w:val="0"/>
          <w:sz w:val="24"/>
          <w:szCs w:val="24"/>
        </w:rPr>
        <w:t>技术得分+商务</w:t>
      </w:r>
      <w:r>
        <w:rPr>
          <w:rFonts w:hint="eastAsia" w:cs="宋体" w:asciiTheme="minorEastAsia" w:hAnsiTheme="minorEastAsia"/>
          <w:kern w:val="0"/>
          <w:sz w:val="24"/>
          <w:szCs w:val="24"/>
        </w:rPr>
        <w:t>报价</w:t>
      </w:r>
      <w:r>
        <w:rPr>
          <w:rFonts w:cs="宋体" w:asciiTheme="minorEastAsia" w:hAnsiTheme="minorEastAsia"/>
          <w:kern w:val="0"/>
          <w:sz w:val="24"/>
          <w:szCs w:val="24"/>
        </w:rPr>
        <w:t>得分。</w:t>
      </w:r>
    </w:p>
    <w:p w14:paraId="267E6721">
      <w:pPr>
        <w:tabs>
          <w:tab w:val="left" w:pos="720"/>
        </w:tabs>
        <w:spacing w:line="500" w:lineRule="exact"/>
        <w:ind w:firstLine="480" w:firstLineChars="200"/>
        <w:rPr>
          <w:rFonts w:hint="eastAsia" w:cs="宋体" w:asciiTheme="minorEastAsia" w:hAnsiTheme="minorEastAsia"/>
          <w:sz w:val="24"/>
          <w:szCs w:val="24"/>
        </w:rPr>
      </w:pPr>
      <w:r>
        <w:rPr>
          <w:rFonts w:cs="宋体" w:asciiTheme="minorEastAsia" w:hAnsiTheme="minorEastAsia"/>
          <w:bCs/>
          <w:sz w:val="24"/>
          <w:szCs w:val="24"/>
        </w:rPr>
        <w:t>2</w:t>
      </w:r>
      <w:r>
        <w:rPr>
          <w:rFonts w:hint="eastAsia" w:cs="宋体" w:asciiTheme="minorEastAsia" w:hAnsiTheme="minorEastAsia"/>
          <w:bCs/>
          <w:sz w:val="24"/>
          <w:szCs w:val="24"/>
        </w:rPr>
        <w:t>、</w:t>
      </w:r>
      <w:r>
        <w:rPr>
          <w:rFonts w:cs="宋体" w:asciiTheme="minorEastAsia" w:hAnsiTheme="minorEastAsia"/>
          <w:bCs/>
          <w:sz w:val="24"/>
          <w:szCs w:val="24"/>
        </w:rPr>
        <w:t>评标委员会推荐出1-3名有排序的中标候选人。</w:t>
      </w:r>
      <w:r>
        <w:rPr>
          <w:rFonts w:cs="宋体" w:asciiTheme="minorEastAsia" w:hAnsiTheme="minorEastAsia"/>
          <w:sz w:val="24"/>
          <w:szCs w:val="24"/>
        </w:rPr>
        <w:t>技术分、商务分相加总得分最高的为第一中标侯选人；总得分相同时，按术分高的确定为第一中标候选人；总得分、技术分得分均相同时，商务分报价低者排名优先。</w:t>
      </w:r>
    </w:p>
    <w:p w14:paraId="5A472D16">
      <w:pPr>
        <w:widowControl/>
        <w:jc w:val="left"/>
        <w:rPr>
          <w:rFonts w:hint="eastAsia" w:cs="宋体" w:asciiTheme="minorEastAsia" w:hAnsiTheme="minorEastAsia"/>
          <w:bCs/>
          <w:color w:val="FF0000"/>
          <w:sz w:val="24"/>
          <w:szCs w:val="24"/>
        </w:rPr>
      </w:pPr>
    </w:p>
    <w:p w14:paraId="7799857F">
      <w:pPr>
        <w:widowControl/>
        <w:jc w:val="left"/>
        <w:rPr>
          <w:rFonts w:hint="eastAsia" w:cs="宋体" w:asciiTheme="minorEastAsia" w:hAnsiTheme="minorEastAsia"/>
          <w:b/>
          <w:sz w:val="24"/>
          <w:szCs w:val="24"/>
        </w:rPr>
      </w:pPr>
    </w:p>
    <w:p w14:paraId="17996D6E"/>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9148586"/>
      <w:docPartObj>
        <w:docPartGallery w:val="autotext"/>
      </w:docPartObj>
    </w:sdtPr>
    <w:sdtContent>
      <w:p w14:paraId="57A3578A">
        <w:pPr>
          <w:pStyle w:val="9"/>
          <w:jc w:val="center"/>
        </w:pPr>
        <w:r>
          <w:fldChar w:fldCharType="begin"/>
        </w:r>
        <w:r>
          <w:instrText xml:space="preserve">PAGE   \* MERGEFORMAT</w:instrText>
        </w:r>
        <w:r>
          <w:fldChar w:fldCharType="separate"/>
        </w:r>
        <w:r>
          <w:rPr>
            <w:lang w:val="zh-CN"/>
          </w:rPr>
          <w:t>23</w:t>
        </w:r>
        <w:r>
          <w:fldChar w:fldCharType="end"/>
        </w:r>
      </w:p>
    </w:sdtContent>
  </w:sdt>
  <w:p w14:paraId="30623375">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B1"/>
    <w:rsid w:val="000231CD"/>
    <w:rsid w:val="00064807"/>
    <w:rsid w:val="00066BB1"/>
    <w:rsid w:val="000B44F5"/>
    <w:rsid w:val="000D7210"/>
    <w:rsid w:val="000D7EBE"/>
    <w:rsid w:val="000F4999"/>
    <w:rsid w:val="0014740C"/>
    <w:rsid w:val="0017021B"/>
    <w:rsid w:val="001C4E97"/>
    <w:rsid w:val="002E00D5"/>
    <w:rsid w:val="003B243F"/>
    <w:rsid w:val="003D377D"/>
    <w:rsid w:val="00426A12"/>
    <w:rsid w:val="00440B91"/>
    <w:rsid w:val="004C0A55"/>
    <w:rsid w:val="0055363E"/>
    <w:rsid w:val="005544BC"/>
    <w:rsid w:val="0056227F"/>
    <w:rsid w:val="006110C6"/>
    <w:rsid w:val="006A0930"/>
    <w:rsid w:val="006F2C6A"/>
    <w:rsid w:val="00743B59"/>
    <w:rsid w:val="00793DCF"/>
    <w:rsid w:val="007E3037"/>
    <w:rsid w:val="00813188"/>
    <w:rsid w:val="008261E9"/>
    <w:rsid w:val="00890CB1"/>
    <w:rsid w:val="008B2D25"/>
    <w:rsid w:val="008B39B5"/>
    <w:rsid w:val="008E04E2"/>
    <w:rsid w:val="00952165"/>
    <w:rsid w:val="009C724F"/>
    <w:rsid w:val="00B9094E"/>
    <w:rsid w:val="00C03FD3"/>
    <w:rsid w:val="00C27485"/>
    <w:rsid w:val="00CE1850"/>
    <w:rsid w:val="00D27883"/>
    <w:rsid w:val="00DB5D58"/>
    <w:rsid w:val="00DF69C5"/>
    <w:rsid w:val="00E02DB8"/>
    <w:rsid w:val="00E846B9"/>
    <w:rsid w:val="00F02232"/>
    <w:rsid w:val="00F17747"/>
    <w:rsid w:val="00F27032"/>
    <w:rsid w:val="00FA7857"/>
    <w:rsid w:val="00FE2809"/>
    <w:rsid w:val="1022711E"/>
    <w:rsid w:val="1F86727A"/>
    <w:rsid w:val="23F01591"/>
    <w:rsid w:val="2E751203"/>
    <w:rsid w:val="3C1D10AF"/>
    <w:rsid w:val="49C72C85"/>
    <w:rsid w:val="614431D1"/>
    <w:rsid w:val="6E5A73D7"/>
    <w:rsid w:val="74C6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jc w:val="left"/>
      <w:outlineLvl w:val="0"/>
    </w:pPr>
    <w:rPr>
      <w:b/>
      <w:bCs/>
      <w:kern w:val="44"/>
      <w:sz w:val="28"/>
      <w:szCs w:val="44"/>
    </w:rPr>
  </w:style>
  <w:style w:type="paragraph" w:styleId="3">
    <w:name w:val="heading 2"/>
    <w:basedOn w:val="1"/>
    <w:next w:val="1"/>
    <w:link w:val="17"/>
    <w:unhideWhenUsed/>
    <w:qFormat/>
    <w:uiPriority w:val="9"/>
    <w:pPr>
      <w:keepNext/>
      <w:keepLines/>
      <w:spacing w:before="260" w:after="260" w:line="416" w:lineRule="auto"/>
      <w:jc w:val="left"/>
      <w:outlineLvl w:val="1"/>
    </w:pPr>
    <w:rPr>
      <w:rFonts w:asciiTheme="majorHAnsi" w:hAnsiTheme="majorHAnsi" w:eastAsiaTheme="majorEastAsia" w:cstheme="majorBidi"/>
      <w:b/>
      <w:bCs/>
      <w:sz w:val="28"/>
      <w:szCs w:val="32"/>
    </w:rPr>
  </w:style>
  <w:style w:type="paragraph" w:styleId="4">
    <w:name w:val="heading 3"/>
    <w:basedOn w:val="1"/>
    <w:next w:val="1"/>
    <w:link w:val="18"/>
    <w:unhideWhenUsed/>
    <w:qFormat/>
    <w:uiPriority w:val="9"/>
    <w:pPr>
      <w:keepNext/>
      <w:keepLines/>
      <w:spacing w:before="260" w:after="260" w:line="416" w:lineRule="auto"/>
      <w:jc w:val="left"/>
      <w:outlineLvl w:val="2"/>
    </w:pPr>
    <w:rPr>
      <w:b/>
      <w:bCs/>
      <w:sz w:val="24"/>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5"/>
    <w:semiHidden/>
    <w:unhideWhenUsed/>
    <w:qFormat/>
    <w:uiPriority w:val="99"/>
    <w:pPr>
      <w:spacing w:after="120"/>
    </w:pPr>
    <w:rPr>
      <w:rFonts w:ascii="等线" w:hAnsi="等线" w:eastAsia="等线" w:cs="Times New Roman"/>
      <w:szCs w:val="21"/>
    </w:rPr>
  </w:style>
  <w:style w:type="paragraph" w:styleId="7">
    <w:name w:val="Body Text Indent"/>
    <w:basedOn w:val="1"/>
    <w:next w:val="8"/>
    <w:link w:val="22"/>
    <w:semiHidden/>
    <w:unhideWhenUsed/>
    <w:qFormat/>
    <w:uiPriority w:val="99"/>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tabs>
        <w:tab w:val="center" w:pos="4153"/>
        <w:tab w:val="right" w:pos="8306"/>
      </w:tabs>
      <w:snapToGrid w:val="0"/>
      <w:jc w:val="center"/>
    </w:pPr>
    <w:rPr>
      <w:sz w:val="18"/>
      <w:szCs w:val="18"/>
    </w:rPr>
  </w:style>
  <w:style w:type="paragraph" w:styleId="11">
    <w:name w:val="Body Text First Indent 2"/>
    <w:basedOn w:val="7"/>
    <w:link w:val="21"/>
    <w:unhideWhenUsed/>
    <w:qFormat/>
    <w:uiPriority w:val="0"/>
    <w:pPr>
      <w:ind w:firstLine="420" w:firstLineChars="200"/>
    </w:pPr>
    <w:rPr>
      <w:sz w:val="24"/>
    </w:rPr>
  </w:style>
  <w:style w:type="character" w:customStyle="1" w:styleId="14">
    <w:name w:val="页眉 字符"/>
    <w:basedOn w:val="13"/>
    <w:link w:val="10"/>
    <w:qFormat/>
    <w:uiPriority w:val="99"/>
    <w:rPr>
      <w:sz w:val="18"/>
      <w:szCs w:val="18"/>
    </w:rPr>
  </w:style>
  <w:style w:type="character" w:customStyle="1" w:styleId="15">
    <w:name w:val="页脚 字符"/>
    <w:basedOn w:val="13"/>
    <w:link w:val="9"/>
    <w:qFormat/>
    <w:uiPriority w:val="99"/>
    <w:rPr>
      <w:sz w:val="18"/>
      <w:szCs w:val="18"/>
    </w:rPr>
  </w:style>
  <w:style w:type="character" w:customStyle="1" w:styleId="16">
    <w:name w:val="标题 1 字符"/>
    <w:basedOn w:val="13"/>
    <w:link w:val="2"/>
    <w:qFormat/>
    <w:uiPriority w:val="9"/>
    <w:rPr>
      <w:b/>
      <w:bCs/>
      <w:kern w:val="44"/>
      <w:sz w:val="28"/>
      <w:szCs w:val="44"/>
    </w:rPr>
  </w:style>
  <w:style w:type="character" w:customStyle="1" w:styleId="17">
    <w:name w:val="标题 2 字符"/>
    <w:basedOn w:val="13"/>
    <w:link w:val="3"/>
    <w:qFormat/>
    <w:uiPriority w:val="9"/>
    <w:rPr>
      <w:rFonts w:asciiTheme="majorHAnsi" w:hAnsiTheme="majorHAnsi" w:eastAsiaTheme="majorEastAsia" w:cstheme="majorBidi"/>
      <w:b/>
      <w:bCs/>
      <w:sz w:val="28"/>
      <w:szCs w:val="32"/>
    </w:rPr>
  </w:style>
  <w:style w:type="character" w:customStyle="1" w:styleId="18">
    <w:name w:val="标题 3 字符"/>
    <w:basedOn w:val="13"/>
    <w:link w:val="4"/>
    <w:qFormat/>
    <w:uiPriority w:val="9"/>
    <w:rPr>
      <w:b/>
      <w:bCs/>
      <w:sz w:val="24"/>
      <w:szCs w:val="32"/>
    </w:rPr>
  </w:style>
  <w:style w:type="paragraph" w:customStyle="1" w:styleId="19">
    <w:name w:val="!正文"/>
    <w:basedOn w:val="1"/>
    <w:link w:val="20"/>
    <w:qFormat/>
    <w:uiPriority w:val="0"/>
    <w:pPr>
      <w:widowControl/>
      <w:spacing w:beforeLines="50" w:afterLines="50" w:line="360" w:lineRule="auto"/>
      <w:ind w:firstLine="200" w:firstLineChars="200"/>
    </w:pPr>
    <w:rPr>
      <w:rFonts w:ascii="宋体" w:hAnsi="宋体" w:eastAsia="宋体" w:cs="Times New Roman"/>
      <w:sz w:val="24"/>
      <w:szCs w:val="28"/>
    </w:rPr>
  </w:style>
  <w:style w:type="character" w:customStyle="1" w:styleId="20">
    <w:name w:val="!正文 Char"/>
    <w:link w:val="19"/>
    <w:qFormat/>
    <w:uiPriority w:val="0"/>
    <w:rPr>
      <w:rFonts w:ascii="宋体" w:hAnsi="宋体" w:eastAsia="宋体" w:cs="Times New Roman"/>
      <w:sz w:val="24"/>
      <w:szCs w:val="28"/>
    </w:rPr>
  </w:style>
  <w:style w:type="character" w:customStyle="1" w:styleId="21">
    <w:name w:val="正文文本首行缩进 2 字符1"/>
    <w:link w:val="11"/>
    <w:qFormat/>
    <w:locked/>
    <w:uiPriority w:val="0"/>
    <w:rPr>
      <w:sz w:val="24"/>
    </w:rPr>
  </w:style>
  <w:style w:type="character" w:customStyle="1" w:styleId="22">
    <w:name w:val="正文文本缩进 字符"/>
    <w:basedOn w:val="13"/>
    <w:link w:val="7"/>
    <w:semiHidden/>
    <w:qFormat/>
    <w:uiPriority w:val="99"/>
  </w:style>
  <w:style w:type="character" w:customStyle="1" w:styleId="23">
    <w:name w:val="正文文本首行缩进 2 字符"/>
    <w:basedOn w:val="22"/>
    <w:semiHidden/>
    <w:qFormat/>
    <w:uiPriority w:val="99"/>
  </w:style>
  <w:style w:type="paragraph" w:customStyle="1" w:styleId="24">
    <w:name w:val="列出段落1"/>
    <w:basedOn w:val="1"/>
    <w:qFormat/>
    <w:uiPriority w:val="0"/>
    <w:pPr>
      <w:ind w:firstLine="420" w:firstLineChars="200"/>
    </w:pPr>
    <w:rPr>
      <w:rFonts w:ascii="Times New Roman" w:hAnsi="Times New Roman" w:eastAsia="宋体" w:cs="Times New Roman"/>
      <w:szCs w:val="24"/>
    </w:rPr>
  </w:style>
  <w:style w:type="character" w:customStyle="1" w:styleId="25">
    <w:name w:val="正文文本 字符"/>
    <w:basedOn w:val="13"/>
    <w:link w:val="6"/>
    <w:semiHidden/>
    <w:qFormat/>
    <w:uiPriority w:val="99"/>
    <w:rPr>
      <w:rFonts w:ascii="等线" w:hAnsi="等线" w:eastAsia="等线" w:cs="Times New Roman"/>
      <w:szCs w:val="21"/>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2928</Words>
  <Characters>2993</Characters>
  <Lines>74</Lines>
  <Paragraphs>21</Paragraphs>
  <TotalTime>58</TotalTime>
  <ScaleCrop>false</ScaleCrop>
  <LinksUpToDate>false</LinksUpToDate>
  <CharactersWithSpaces>3004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2024-12-11T02:48:00Z</dcterms:created>
  <dc:creator>俊依 王</dc:creator>
  <cp:lastModifiedBy>3rd</cp:lastModifiedBy>
  <dcterms:modified xsi:type="dcterms:W3CDTF">2024-12-13T08:07:09Z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F1B21083FD334C6B86B7D44BCA8C296C_13</vt:lpwstr>
  </property>
</Properties>
</file>