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7932">
      <w:pPr>
        <w:rPr>
          <w:rFonts w:hint="eastAsia" w:cs="Times New Roman" w:asciiTheme="minorEastAsia" w:hAnsiTheme="minorEastAsia"/>
          <w:b/>
          <w:bCs/>
          <w:color w:val="auto"/>
          <w:sz w:val="36"/>
          <w:szCs w:val="36"/>
          <w:shd w:val="clear" w:color="auto" w:fill="FFFFFF"/>
        </w:rPr>
      </w:pPr>
    </w:p>
    <w:p w14:paraId="77FF6419">
      <w:pPr>
        <w:jc w:val="center"/>
        <w:rPr>
          <w:rFonts w:hint="eastAsia" w:cs="Times New Roman" w:asciiTheme="minorEastAsia" w:hAnsiTheme="minorEastAsia"/>
          <w:b/>
          <w:bCs/>
          <w:color w:val="auto"/>
          <w:sz w:val="42"/>
          <w:szCs w:val="42"/>
          <w:shd w:val="clear" w:color="auto" w:fill="FFFFFF"/>
        </w:rPr>
      </w:pPr>
      <w:r>
        <w:rPr>
          <w:rFonts w:hint="eastAsia" w:cs="Times New Roman" w:asciiTheme="minorEastAsia" w:hAnsiTheme="minorEastAsia"/>
          <w:b/>
          <w:bCs/>
          <w:color w:val="auto"/>
          <w:sz w:val="42"/>
          <w:szCs w:val="42"/>
          <w:shd w:val="clear" w:color="auto" w:fill="FFFFFF"/>
        </w:rPr>
        <w:tab/>
      </w:r>
      <w:r>
        <w:rPr>
          <w:rFonts w:hint="eastAsia" w:cs="Times New Roman" w:asciiTheme="minorEastAsia" w:hAnsiTheme="minorEastAsia"/>
          <w:b/>
          <w:bCs/>
          <w:color w:val="auto"/>
          <w:sz w:val="42"/>
          <w:szCs w:val="42"/>
          <w:shd w:val="clear" w:color="auto" w:fill="FFFFFF"/>
        </w:rPr>
        <w:t>宿州市医保反欺诈大数据应用监管建设及服务项目监理</w:t>
      </w:r>
    </w:p>
    <w:p w14:paraId="1BB01CBA">
      <w:pPr>
        <w:jc w:val="center"/>
        <w:rPr>
          <w:rFonts w:hint="eastAsia" w:cs="Times New Roman" w:asciiTheme="minorEastAsia" w:hAnsiTheme="minorEastAsia"/>
          <w:b/>
          <w:bCs/>
          <w:color w:val="auto"/>
          <w:sz w:val="48"/>
          <w:szCs w:val="48"/>
          <w:shd w:val="clear" w:color="auto" w:fill="FFFFFF"/>
        </w:rPr>
      </w:pPr>
    </w:p>
    <w:p w14:paraId="4E4AD8F8">
      <w:pPr>
        <w:jc w:val="center"/>
        <w:rPr>
          <w:rFonts w:hint="eastAsia" w:cs="Times New Roman" w:asciiTheme="minorEastAsia" w:hAnsiTheme="minorEastAsia"/>
          <w:b/>
          <w:bCs/>
          <w:color w:val="auto"/>
          <w:sz w:val="48"/>
          <w:szCs w:val="48"/>
          <w:shd w:val="clear" w:color="auto" w:fill="FFFFFF"/>
        </w:rPr>
      </w:pPr>
    </w:p>
    <w:p w14:paraId="28729449">
      <w:pPr>
        <w:jc w:val="center"/>
        <w:rPr>
          <w:rFonts w:hint="eastAsia" w:cs="Times New Roman" w:asciiTheme="minorEastAsia" w:hAnsiTheme="minorEastAsia"/>
          <w:b/>
          <w:bCs/>
          <w:color w:val="auto"/>
          <w:sz w:val="52"/>
          <w:szCs w:val="52"/>
          <w:shd w:val="clear" w:color="auto" w:fill="FFFFFF"/>
        </w:rPr>
      </w:pPr>
      <w:r>
        <w:rPr>
          <w:rFonts w:hint="eastAsia" w:cs="Times New Roman" w:asciiTheme="minorEastAsia" w:hAnsiTheme="minorEastAsia"/>
          <w:b/>
          <w:bCs/>
          <w:color w:val="auto"/>
          <w:sz w:val="52"/>
          <w:szCs w:val="52"/>
          <w:shd w:val="clear" w:color="auto" w:fill="FFFFFF"/>
        </w:rPr>
        <w:t>采购需求</w:t>
      </w:r>
    </w:p>
    <w:p w14:paraId="4EAF8777">
      <w:pPr>
        <w:jc w:val="center"/>
        <w:rPr>
          <w:rFonts w:hint="eastAsia" w:cs="Times New Roman" w:asciiTheme="minorEastAsia" w:hAnsiTheme="minorEastAsia"/>
          <w:b/>
          <w:bCs/>
          <w:color w:val="auto"/>
          <w:sz w:val="48"/>
          <w:szCs w:val="48"/>
          <w:shd w:val="clear" w:color="auto" w:fill="FFFFFF"/>
        </w:rPr>
      </w:pPr>
    </w:p>
    <w:p w14:paraId="3EECBCFE">
      <w:pPr>
        <w:jc w:val="center"/>
        <w:rPr>
          <w:rFonts w:hint="eastAsia" w:cs="Times New Roman" w:asciiTheme="minorEastAsia" w:hAnsiTheme="minorEastAsia"/>
          <w:b/>
          <w:bCs/>
          <w:color w:val="auto"/>
          <w:sz w:val="30"/>
          <w:szCs w:val="30"/>
          <w:shd w:val="clear" w:color="auto" w:fill="FFFFFF"/>
        </w:rPr>
      </w:pPr>
    </w:p>
    <w:p w14:paraId="1B1B312B">
      <w:pPr>
        <w:jc w:val="center"/>
        <w:rPr>
          <w:rFonts w:hint="eastAsia" w:cs="Times New Roman" w:asciiTheme="minorEastAsia" w:hAnsiTheme="minorEastAsia"/>
          <w:b/>
          <w:bCs/>
          <w:color w:val="auto"/>
          <w:sz w:val="30"/>
          <w:szCs w:val="30"/>
          <w:shd w:val="clear" w:color="auto" w:fill="FFFFFF"/>
        </w:rPr>
      </w:pPr>
    </w:p>
    <w:p w14:paraId="7D3A10BD">
      <w:pPr>
        <w:jc w:val="center"/>
        <w:rPr>
          <w:rFonts w:hint="eastAsia" w:cs="Times New Roman" w:asciiTheme="minorEastAsia" w:hAnsiTheme="minorEastAsia"/>
          <w:b/>
          <w:bCs/>
          <w:color w:val="auto"/>
          <w:sz w:val="30"/>
          <w:szCs w:val="30"/>
          <w:shd w:val="clear" w:color="auto" w:fill="FFFFFF"/>
        </w:rPr>
      </w:pPr>
    </w:p>
    <w:p w14:paraId="37A125DC">
      <w:pPr>
        <w:jc w:val="center"/>
        <w:rPr>
          <w:rFonts w:hint="eastAsia" w:cs="Times New Roman" w:asciiTheme="minorEastAsia" w:hAnsiTheme="minorEastAsia"/>
          <w:b/>
          <w:bCs/>
          <w:color w:val="auto"/>
          <w:sz w:val="30"/>
          <w:szCs w:val="30"/>
          <w:shd w:val="clear" w:color="auto" w:fill="FFFFFF"/>
        </w:rPr>
      </w:pPr>
    </w:p>
    <w:p w14:paraId="3C3644DC">
      <w:pPr>
        <w:jc w:val="center"/>
        <w:rPr>
          <w:rFonts w:hint="eastAsia" w:cs="Times New Roman" w:asciiTheme="minorEastAsia" w:hAnsiTheme="minorEastAsia"/>
          <w:b/>
          <w:bCs/>
          <w:color w:val="auto"/>
          <w:sz w:val="30"/>
          <w:szCs w:val="30"/>
          <w:shd w:val="clear" w:color="auto" w:fill="FFFFFF"/>
        </w:rPr>
      </w:pPr>
    </w:p>
    <w:p w14:paraId="08FC80E5">
      <w:pPr>
        <w:jc w:val="center"/>
        <w:rPr>
          <w:rFonts w:hint="eastAsia" w:cs="Times New Roman" w:asciiTheme="minorEastAsia" w:hAnsiTheme="minorEastAsia"/>
          <w:b/>
          <w:bCs/>
          <w:color w:val="auto"/>
          <w:sz w:val="30"/>
          <w:szCs w:val="30"/>
          <w:shd w:val="clear" w:color="auto" w:fill="FFFFFF"/>
        </w:rPr>
      </w:pPr>
    </w:p>
    <w:p w14:paraId="59E983EB">
      <w:pPr>
        <w:jc w:val="center"/>
        <w:rPr>
          <w:rFonts w:hint="eastAsia" w:cs="Times New Roman" w:asciiTheme="minorEastAsia" w:hAnsiTheme="minorEastAsia"/>
          <w:b/>
          <w:bCs/>
          <w:color w:val="auto"/>
          <w:sz w:val="30"/>
          <w:szCs w:val="30"/>
          <w:shd w:val="clear" w:color="auto" w:fill="FFFFFF"/>
        </w:rPr>
      </w:pPr>
    </w:p>
    <w:p w14:paraId="6E76A715">
      <w:pPr>
        <w:jc w:val="center"/>
        <w:rPr>
          <w:rFonts w:hint="eastAsia" w:cs="Times New Roman" w:asciiTheme="minorEastAsia" w:hAnsiTheme="minorEastAsia"/>
          <w:b/>
          <w:bCs/>
          <w:color w:val="auto"/>
          <w:sz w:val="30"/>
          <w:szCs w:val="30"/>
          <w:shd w:val="clear" w:color="auto" w:fill="FFFFFF"/>
        </w:rPr>
      </w:pPr>
    </w:p>
    <w:p w14:paraId="58F4D33A">
      <w:pPr>
        <w:jc w:val="center"/>
        <w:rPr>
          <w:rFonts w:hint="eastAsia" w:cs="Times New Roman" w:asciiTheme="minorEastAsia" w:hAnsiTheme="minorEastAsia"/>
          <w:b/>
          <w:bCs/>
          <w:color w:val="auto"/>
          <w:sz w:val="30"/>
          <w:szCs w:val="30"/>
          <w:shd w:val="clear" w:color="auto" w:fill="FFFFFF"/>
        </w:rPr>
      </w:pPr>
    </w:p>
    <w:p w14:paraId="435848FD">
      <w:pPr>
        <w:jc w:val="center"/>
        <w:rPr>
          <w:rFonts w:hint="eastAsia" w:cs="Times New Roman" w:asciiTheme="minorEastAsia" w:hAnsiTheme="minorEastAsia"/>
          <w:b/>
          <w:bCs/>
          <w:color w:val="auto"/>
          <w:sz w:val="30"/>
          <w:szCs w:val="30"/>
          <w:shd w:val="clear" w:color="auto" w:fill="FFFFFF"/>
        </w:rPr>
      </w:pPr>
    </w:p>
    <w:p w14:paraId="2CF4E17C">
      <w:pPr>
        <w:jc w:val="center"/>
        <w:rPr>
          <w:rFonts w:hint="eastAsia" w:cs="Times New Roman" w:asciiTheme="minorEastAsia" w:hAnsiTheme="minorEastAsia"/>
          <w:b/>
          <w:bCs/>
          <w:color w:val="auto"/>
          <w:sz w:val="30"/>
          <w:szCs w:val="30"/>
          <w:shd w:val="clear" w:color="auto" w:fill="FFFFFF"/>
        </w:rPr>
      </w:pPr>
    </w:p>
    <w:p w14:paraId="497B2824">
      <w:pPr>
        <w:jc w:val="center"/>
        <w:rPr>
          <w:rFonts w:hint="eastAsia" w:cs="Times New Roman" w:asciiTheme="minorEastAsia" w:hAnsiTheme="minorEastAsia"/>
          <w:b/>
          <w:bCs/>
          <w:color w:val="auto"/>
          <w:sz w:val="30"/>
          <w:szCs w:val="30"/>
          <w:shd w:val="clear" w:color="auto" w:fill="FFFFFF"/>
        </w:rPr>
      </w:pPr>
    </w:p>
    <w:p w14:paraId="14BFBB9B">
      <w:pPr>
        <w:jc w:val="center"/>
        <w:rPr>
          <w:rFonts w:hint="eastAsia" w:cs="Times New Roman" w:asciiTheme="minorEastAsia" w:hAnsiTheme="minorEastAsia"/>
          <w:b/>
          <w:bCs/>
          <w:color w:val="auto"/>
          <w:sz w:val="36"/>
          <w:szCs w:val="36"/>
          <w:shd w:val="clear" w:color="auto" w:fill="FFFFFF"/>
        </w:rPr>
      </w:pPr>
      <w:r>
        <w:rPr>
          <w:rFonts w:hint="eastAsia" w:cs="Times New Roman" w:asciiTheme="minorEastAsia" w:hAnsiTheme="minorEastAsia"/>
          <w:b/>
          <w:bCs/>
          <w:color w:val="auto"/>
          <w:sz w:val="36"/>
          <w:szCs w:val="36"/>
          <w:shd w:val="clear" w:color="auto" w:fill="FFFFFF"/>
        </w:rPr>
        <w:t>二〇二四年十二月</w:t>
      </w:r>
    </w:p>
    <w:p w14:paraId="1A8CEA93">
      <w:pPr>
        <w:pStyle w:val="2"/>
        <w:rPr>
          <w:rFonts w:hint="eastAsia" w:asciiTheme="minorEastAsia" w:hAnsiTheme="minorEastAsia"/>
          <w:color w:val="auto"/>
        </w:rPr>
      </w:pPr>
      <w:r>
        <w:rPr>
          <w:rFonts w:hint="eastAsia" w:asciiTheme="minorEastAsia" w:hAnsiTheme="minorEastAsia"/>
          <w:color w:val="auto"/>
        </w:rPr>
        <w:t>一、项目名称</w:t>
      </w:r>
    </w:p>
    <w:p w14:paraId="2B0FC4E6">
      <w:pPr>
        <w:snapToGrid w:val="0"/>
        <w:spacing w:line="360" w:lineRule="auto"/>
        <w:ind w:firstLine="470" w:firstLineChars="196"/>
        <w:rPr>
          <w:rFonts w:hint="eastAsia" w:asciiTheme="minorEastAsia" w:hAnsiTheme="minorEastAsia"/>
          <w:color w:val="auto"/>
          <w:sz w:val="36"/>
          <w:szCs w:val="36"/>
        </w:rPr>
      </w:pPr>
      <w:r>
        <w:rPr>
          <w:rFonts w:hint="eastAsia" w:cs="宋体" w:asciiTheme="minorEastAsia" w:hAnsiTheme="minorEastAsia"/>
          <w:color w:val="auto"/>
          <w:sz w:val="24"/>
          <w:szCs w:val="24"/>
        </w:rPr>
        <w:t>宿州市医保反欺诈大数据应用监管建设及服务项目监理</w:t>
      </w:r>
    </w:p>
    <w:p w14:paraId="17016793">
      <w:pPr>
        <w:pStyle w:val="2"/>
        <w:rPr>
          <w:rFonts w:hint="eastAsia" w:asciiTheme="minorEastAsia" w:hAnsiTheme="minorEastAsia"/>
          <w:color w:val="auto"/>
        </w:rPr>
      </w:pPr>
      <w:r>
        <w:rPr>
          <w:rFonts w:asciiTheme="minorEastAsia" w:hAnsiTheme="minorEastAsia"/>
          <w:color w:val="auto"/>
        </w:rPr>
        <w:t>二、项目概况与招标范围</w:t>
      </w:r>
    </w:p>
    <w:p w14:paraId="2BEF38D6">
      <w:pPr>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1、实施地点：</w:t>
      </w:r>
      <w:r>
        <w:rPr>
          <w:rFonts w:hint="eastAsia" w:cs="宋体" w:asciiTheme="minorEastAsia" w:hAnsiTheme="minorEastAsia"/>
          <w:color w:val="auto"/>
          <w:sz w:val="24"/>
          <w:szCs w:val="24"/>
          <w:u w:val="single"/>
        </w:rPr>
        <w:t>宿州市。</w:t>
      </w:r>
    </w:p>
    <w:p w14:paraId="136439B2">
      <w:pPr>
        <w:spacing w:line="360" w:lineRule="auto"/>
        <w:ind w:firstLine="482" w:firstLineChars="200"/>
        <w:jc w:val="left"/>
        <w:rPr>
          <w:rFonts w:hint="eastAsia" w:cs="宋体" w:asciiTheme="minorEastAsia" w:hAnsiTheme="minorEastAsia"/>
          <w:color w:val="auto"/>
          <w:sz w:val="24"/>
          <w:szCs w:val="24"/>
          <w:u w:val="single"/>
        </w:rPr>
      </w:pPr>
      <w:r>
        <w:rPr>
          <w:rFonts w:asciiTheme="minorEastAsia" w:hAnsiTheme="minorEastAsia"/>
          <w:b/>
          <w:bCs/>
          <w:color w:val="auto"/>
          <w:sz w:val="24"/>
          <w:szCs w:val="24"/>
        </w:rPr>
        <w:t>2、建设</w:t>
      </w:r>
      <w:r>
        <w:rPr>
          <w:rFonts w:hint="eastAsia" w:asciiTheme="minorEastAsia" w:hAnsiTheme="minorEastAsia"/>
          <w:b/>
          <w:bCs/>
          <w:color w:val="auto"/>
          <w:sz w:val="24"/>
          <w:szCs w:val="24"/>
        </w:rPr>
        <w:t>内容</w:t>
      </w:r>
      <w:r>
        <w:rPr>
          <w:rFonts w:asciiTheme="minorEastAsia" w:hAnsiTheme="minorEastAsia"/>
          <w:b/>
          <w:bCs/>
          <w:color w:val="auto"/>
          <w:sz w:val="24"/>
          <w:szCs w:val="24"/>
        </w:rPr>
        <w:t>：</w:t>
      </w:r>
      <w:r>
        <w:rPr>
          <w:rFonts w:hint="eastAsia" w:cs="宋体" w:asciiTheme="minorEastAsia" w:hAnsiTheme="minorEastAsia"/>
          <w:color w:val="auto"/>
          <w:sz w:val="24"/>
          <w:szCs w:val="24"/>
          <w:u w:val="single"/>
        </w:rPr>
        <w:t>宿州市医保反欺诈大数据应用监管建设及服务项目</w:t>
      </w:r>
      <w:r>
        <w:rPr>
          <w:rFonts w:hint="eastAsia" w:asciiTheme="minorEastAsia" w:hAnsiTheme="minorEastAsia"/>
          <w:color w:val="auto"/>
          <w:sz w:val="24"/>
          <w:szCs w:val="24"/>
          <w:u w:val="single"/>
        </w:rPr>
        <w:t>主要建设内容包括</w:t>
      </w:r>
      <w:r>
        <w:rPr>
          <w:rFonts w:hint="eastAsia" w:cs="宋体" w:asciiTheme="minorEastAsia" w:hAnsiTheme="minorEastAsia"/>
          <w:color w:val="auto"/>
          <w:sz w:val="24"/>
          <w:szCs w:val="24"/>
          <w:u w:val="single"/>
        </w:rPr>
        <w:t>1</w:t>
      </w:r>
      <w:r>
        <w:rPr>
          <w:rFonts w:hint="eastAsia" w:cs="宋体" w:asciiTheme="minorEastAsia" w:hAnsiTheme="minorEastAsia"/>
          <w:color w:val="auto"/>
          <w:sz w:val="24"/>
          <w:szCs w:val="24"/>
          <w:u w:val="single"/>
          <w:lang w:eastAsia="zh-CN"/>
        </w:rPr>
        <w:t>。</w:t>
      </w:r>
      <w:r>
        <w:rPr>
          <w:rFonts w:hint="eastAsia" w:cs="宋体" w:asciiTheme="minorEastAsia" w:hAnsiTheme="minorEastAsia"/>
          <w:color w:val="auto"/>
          <w:sz w:val="24"/>
          <w:szCs w:val="24"/>
          <w:u w:val="single"/>
        </w:rPr>
        <w:t>构建反欺诈数据监测专区，实现安徽省国家医保信息平台宿州市全量数据访问权限，实现数据共享；与国家医保信息平台反欺诈数据监测专区实现业务协同，数据协同；与国家医保信息平台反欺诈数据监测专区实现业务协同，数据协同</w:t>
      </w:r>
      <w:r>
        <w:rPr>
          <w:rFonts w:hint="eastAsia" w:cs="宋体" w:asciiTheme="minorEastAsia" w:hAnsiTheme="minorEastAsia"/>
          <w:color w:val="auto"/>
          <w:sz w:val="24"/>
          <w:szCs w:val="24"/>
          <w:u w:val="single"/>
          <w:lang w:eastAsia="zh-CN"/>
        </w:rPr>
        <w:t>；</w:t>
      </w:r>
      <w:r>
        <w:rPr>
          <w:rFonts w:hint="eastAsia" w:cs="宋体" w:asciiTheme="minorEastAsia" w:hAnsiTheme="minorEastAsia"/>
          <w:color w:val="auto"/>
          <w:sz w:val="24"/>
          <w:szCs w:val="24"/>
          <w:u w:val="single"/>
        </w:rPr>
        <w:t>实现对全量业务数据的抽取、清洗和治理；2.构建反欺诈分析模型，聚焦药店数据、异地就医、DIP监管等领域，根据以往发现的骗保案例，提炼总结出需要重点监控的方向，并进行针对性大数据模型搭建、参数校验等，通过线索核查的方式，对模型进行反馈验证和优化训练，确保模型的精准性、适用性；3.构建指标监测能力体系，针对各项重点领域展开监测，包括重点医药机构、重点参保人群、重点业务场景、重点违规行为等，实现对医保海量业务数据监测筛查，缩小可疑数据范围。包括参保人员监测、诊疗行为监测。4.数据治理开发，构建医保数据资源池，将原始医保基础、服务、经办、管理数据通过数据汇聚整合形成医保数据资源池，解决数据分散、数据交换及分析统计数据源头问题。5.云平台相关的扩容。</w:t>
      </w:r>
    </w:p>
    <w:p w14:paraId="07060DE0">
      <w:pPr>
        <w:widowControl/>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3、</w:t>
      </w:r>
      <w:r>
        <w:rPr>
          <w:rFonts w:hint="eastAsia" w:cs="宋体" w:asciiTheme="minorEastAsia" w:hAnsiTheme="minorEastAsia"/>
          <w:b/>
          <w:bCs/>
          <w:color w:val="auto"/>
          <w:sz w:val="24"/>
          <w:szCs w:val="24"/>
        </w:rPr>
        <w:t>服务期限</w:t>
      </w:r>
      <w:r>
        <w:rPr>
          <w:rFonts w:cs="宋体" w:asciiTheme="minorEastAsia" w:hAnsiTheme="minorEastAsia"/>
          <w:b/>
          <w:bCs/>
          <w:color w:val="auto"/>
          <w:sz w:val="24"/>
          <w:szCs w:val="24"/>
        </w:rPr>
        <w:t>：</w:t>
      </w:r>
      <w:r>
        <w:rPr>
          <w:rFonts w:hint="eastAsia" w:cs="宋体" w:asciiTheme="minorEastAsia" w:hAnsiTheme="minorEastAsia"/>
          <w:color w:val="auto"/>
          <w:sz w:val="24"/>
          <w:szCs w:val="24"/>
          <w:u w:val="single"/>
        </w:rPr>
        <w:t>自</w:t>
      </w:r>
      <w:r>
        <w:rPr>
          <w:rFonts w:cs="宋体" w:asciiTheme="minorEastAsia" w:hAnsiTheme="minorEastAsia"/>
          <w:color w:val="auto"/>
          <w:sz w:val="24"/>
          <w:szCs w:val="24"/>
          <w:u w:val="single"/>
        </w:rPr>
        <w:t>监理合同</w:t>
      </w:r>
      <w:r>
        <w:rPr>
          <w:rFonts w:hint="eastAsia" w:cs="宋体" w:asciiTheme="minorEastAsia" w:hAnsiTheme="minorEastAsia"/>
          <w:color w:val="auto"/>
          <w:sz w:val="24"/>
          <w:szCs w:val="24"/>
          <w:u w:val="single"/>
        </w:rPr>
        <w:t>签订之日起</w:t>
      </w:r>
      <w:r>
        <w:rPr>
          <w:rFonts w:cs="宋体" w:asciiTheme="minorEastAsia" w:hAnsiTheme="minorEastAsia"/>
          <w:color w:val="auto"/>
          <w:sz w:val="24"/>
          <w:szCs w:val="24"/>
          <w:u w:val="single"/>
        </w:rPr>
        <w:t>至</w:t>
      </w:r>
      <w:r>
        <w:rPr>
          <w:rFonts w:hint="eastAsia" w:cs="宋体" w:asciiTheme="minorEastAsia" w:hAnsiTheme="minorEastAsia"/>
          <w:color w:val="auto"/>
          <w:sz w:val="24"/>
          <w:szCs w:val="24"/>
          <w:u w:val="single"/>
        </w:rPr>
        <w:t>项目</w:t>
      </w:r>
      <w:r>
        <w:rPr>
          <w:rFonts w:cs="宋体" w:asciiTheme="minorEastAsia" w:hAnsiTheme="minorEastAsia"/>
          <w:color w:val="auto"/>
          <w:sz w:val="24"/>
          <w:szCs w:val="24"/>
          <w:u w:val="single"/>
        </w:rPr>
        <w:t>竣工验收</w:t>
      </w:r>
      <w:r>
        <w:rPr>
          <w:rFonts w:hint="eastAsia" w:cs="宋体" w:asciiTheme="minorEastAsia" w:hAnsiTheme="minorEastAsia"/>
          <w:color w:val="auto"/>
          <w:sz w:val="24"/>
          <w:szCs w:val="24"/>
          <w:u w:val="single"/>
        </w:rPr>
        <w:t>合格止</w:t>
      </w:r>
      <w:r>
        <w:rPr>
          <w:rFonts w:cs="宋体" w:asciiTheme="minorEastAsia" w:hAnsiTheme="minorEastAsia"/>
          <w:color w:val="auto"/>
          <w:sz w:val="24"/>
          <w:szCs w:val="24"/>
          <w:u w:val="single"/>
        </w:rPr>
        <w:t>。</w:t>
      </w:r>
    </w:p>
    <w:p w14:paraId="0E4F044C">
      <w:pPr>
        <w:widowControl/>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4、招标范围：</w:t>
      </w:r>
      <w:r>
        <w:rPr>
          <w:rFonts w:cs="宋体" w:asciiTheme="minorEastAsia" w:hAnsiTheme="minorEastAsia"/>
          <w:color w:val="auto"/>
          <w:sz w:val="24"/>
          <w:szCs w:val="24"/>
          <w:u w:val="single"/>
        </w:rPr>
        <w:t>项目施工招标范围</w:t>
      </w:r>
      <w:r>
        <w:rPr>
          <w:rFonts w:hint="eastAsia" w:cs="宋体" w:asciiTheme="minorEastAsia" w:hAnsiTheme="minorEastAsia"/>
          <w:color w:val="auto"/>
          <w:sz w:val="24"/>
          <w:szCs w:val="24"/>
          <w:u w:val="single"/>
        </w:rPr>
        <w:t>内</w:t>
      </w:r>
      <w:r>
        <w:rPr>
          <w:rFonts w:cs="宋体" w:asciiTheme="minorEastAsia" w:hAnsiTheme="minorEastAsia"/>
          <w:color w:val="auto"/>
          <w:sz w:val="24"/>
          <w:szCs w:val="24"/>
          <w:u w:val="single"/>
        </w:rPr>
        <w:t>所有</w:t>
      </w:r>
      <w:r>
        <w:rPr>
          <w:rFonts w:hint="eastAsia" w:cs="宋体" w:asciiTheme="minorEastAsia" w:hAnsiTheme="minorEastAsia"/>
          <w:color w:val="auto"/>
          <w:sz w:val="24"/>
          <w:szCs w:val="24"/>
          <w:u w:val="single"/>
        </w:rPr>
        <w:t>建设内容</w:t>
      </w:r>
      <w:r>
        <w:rPr>
          <w:rFonts w:cs="宋体" w:asciiTheme="minorEastAsia" w:hAnsiTheme="minorEastAsia"/>
          <w:color w:val="auto"/>
          <w:sz w:val="24"/>
          <w:szCs w:val="24"/>
          <w:u w:val="single"/>
        </w:rPr>
        <w:t>的监理</w:t>
      </w:r>
      <w:r>
        <w:rPr>
          <w:rFonts w:hint="eastAsia" w:cs="宋体" w:asciiTheme="minorEastAsia" w:hAnsiTheme="minorEastAsia"/>
          <w:color w:val="auto"/>
          <w:sz w:val="24"/>
          <w:szCs w:val="24"/>
          <w:u w:val="single"/>
        </w:rPr>
        <w:t>。</w:t>
      </w:r>
    </w:p>
    <w:p w14:paraId="08649AC0">
      <w:pPr>
        <w:pStyle w:val="2"/>
        <w:rPr>
          <w:rFonts w:hint="eastAsia" w:asciiTheme="minorEastAsia" w:hAnsiTheme="minorEastAsia"/>
          <w:color w:val="auto"/>
        </w:rPr>
      </w:pPr>
      <w:r>
        <w:rPr>
          <w:rFonts w:asciiTheme="minorEastAsia" w:hAnsiTheme="minorEastAsia"/>
          <w:color w:val="auto"/>
        </w:rPr>
        <w:t>三、投标人资格要求</w:t>
      </w:r>
    </w:p>
    <w:p w14:paraId="169161A3">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 xml:space="preserve">1、符合《中华人民共和国政府采购法》第二十二条规定； </w:t>
      </w:r>
    </w:p>
    <w:p w14:paraId="625B724B">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2、其他资格要求：</w:t>
      </w:r>
      <w:r>
        <w:rPr>
          <w:rFonts w:hint="eastAsia" w:asciiTheme="minorEastAsia" w:hAnsiTheme="minorEastAsia"/>
          <w:color w:val="auto"/>
          <w:sz w:val="24"/>
          <w:u w:val="single"/>
        </w:rPr>
        <w:t xml:space="preserve"> /</w:t>
      </w:r>
      <w:r>
        <w:rPr>
          <w:rFonts w:asciiTheme="minorEastAsia" w:hAnsiTheme="minorEastAsia"/>
          <w:color w:val="auto"/>
          <w:sz w:val="24"/>
          <w:u w:val="single"/>
        </w:rPr>
        <w:t xml:space="preserve"> </w:t>
      </w:r>
      <w:r>
        <w:rPr>
          <w:rFonts w:hint="eastAsia" w:asciiTheme="minorEastAsia" w:hAnsiTheme="minorEastAsia"/>
          <w:color w:val="auto"/>
          <w:sz w:val="24"/>
        </w:rPr>
        <w:t>；</w:t>
      </w:r>
    </w:p>
    <w:p w14:paraId="693C9D68">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3</w:t>
      </w:r>
      <w:r>
        <w:rPr>
          <w:rFonts w:hint="eastAsia" w:asciiTheme="minorEastAsia" w:hAnsiTheme="minorEastAsia"/>
          <w:color w:val="auto"/>
          <w:sz w:val="24"/>
        </w:rPr>
        <w:t>、本次招标不接受联合体投标。</w:t>
      </w:r>
    </w:p>
    <w:p w14:paraId="556F89C7">
      <w:pPr>
        <w:pStyle w:val="2"/>
        <w:rPr>
          <w:rFonts w:hint="eastAsia" w:asciiTheme="minorEastAsia" w:hAnsiTheme="minorEastAsia"/>
          <w:color w:val="auto"/>
        </w:rPr>
      </w:pPr>
      <w:r>
        <w:rPr>
          <w:rFonts w:hint="eastAsia" w:asciiTheme="minorEastAsia" w:hAnsiTheme="minorEastAsia"/>
          <w:color w:val="auto"/>
        </w:rPr>
        <w:t>四、监理费报价</w:t>
      </w:r>
    </w:p>
    <w:p w14:paraId="33057FD2">
      <w:pPr>
        <w:spacing w:line="360" w:lineRule="auto"/>
        <w:ind w:firstLine="480" w:firstLineChars="200"/>
        <w:jc w:val="left"/>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本项目监理服务费报价采用固定报价方式，对应最高监理服务费上限为38000元。投标人的投标报价不得高于对应监理服务费的最高限价，若高于最高监理服务费限价，将投标无效。</w:t>
      </w:r>
    </w:p>
    <w:p w14:paraId="75055DAC">
      <w:pPr>
        <w:pStyle w:val="2"/>
        <w:rPr>
          <w:rFonts w:hint="eastAsia" w:asciiTheme="minorEastAsia" w:hAnsiTheme="minorEastAsia"/>
          <w:color w:val="auto"/>
        </w:rPr>
      </w:pPr>
      <w:r>
        <w:rPr>
          <w:rFonts w:hint="eastAsia" w:asciiTheme="minorEastAsia" w:hAnsiTheme="minorEastAsia"/>
          <w:color w:val="auto"/>
        </w:rPr>
        <w:t>五、付款方式</w:t>
      </w:r>
    </w:p>
    <w:p w14:paraId="69E78D23">
      <w:pPr>
        <w:spacing w:line="360" w:lineRule="auto"/>
        <w:ind w:firstLine="480" w:firstLineChars="200"/>
        <w:jc w:val="left"/>
        <w:rPr>
          <w:rFonts w:hint="eastAsia" w:cs="宋体" w:asciiTheme="minorEastAsia" w:hAnsiTheme="minorEastAsia"/>
          <w:bCs/>
          <w:color w:val="auto"/>
          <w:sz w:val="24"/>
          <w:szCs w:val="24"/>
        </w:rPr>
      </w:pPr>
      <w:bookmarkStart w:id="0" w:name="_Hlk15124581"/>
      <w:r>
        <w:rPr>
          <w:rFonts w:hint="eastAsia" w:cs="宋体" w:asciiTheme="minorEastAsia" w:hAnsiTheme="minorEastAsia"/>
          <w:bCs/>
          <w:color w:val="auto"/>
          <w:sz w:val="24"/>
          <w:szCs w:val="24"/>
        </w:rPr>
        <w:t>监理合同签订后30日内，甲方向乙方支付合同价款的</w:t>
      </w:r>
      <w:r>
        <w:rPr>
          <w:rFonts w:cs="宋体" w:asciiTheme="minorEastAsia" w:hAnsiTheme="minorEastAsia"/>
          <w:bCs/>
          <w:color w:val="auto"/>
          <w:sz w:val="24"/>
          <w:szCs w:val="24"/>
        </w:rPr>
        <w:t>5</w:t>
      </w:r>
      <w:r>
        <w:rPr>
          <w:rFonts w:hint="eastAsia" w:cs="宋体" w:asciiTheme="minorEastAsia" w:hAnsiTheme="minorEastAsia"/>
          <w:bCs/>
          <w:color w:val="auto"/>
          <w:sz w:val="24"/>
          <w:szCs w:val="24"/>
        </w:rPr>
        <w:t>0%；项目竣工验收合格后，甲方一次性支付剩余监理费。</w:t>
      </w:r>
    </w:p>
    <w:p w14:paraId="731E6914">
      <w:pPr>
        <w:spacing w:line="360" w:lineRule="auto"/>
        <w:ind w:firstLine="480" w:firstLineChars="200"/>
        <w:rPr>
          <w:rFonts w:hint="eastAsia" w:asciiTheme="minorEastAsia" w:hAnsiTheme="minorEastAsia"/>
          <w:color w:val="auto"/>
          <w:sz w:val="24"/>
          <w:szCs w:val="24"/>
        </w:rPr>
      </w:pPr>
      <w:r>
        <w:rPr>
          <w:rFonts w:hint="eastAsia" w:cs="宋体" w:asciiTheme="minorEastAsia" w:hAnsiTheme="minorEastAsia"/>
          <w:color w:val="auto"/>
          <w:sz w:val="24"/>
          <w:szCs w:val="24"/>
        </w:rPr>
        <w:t>注：监理款凭正式发票结算，结算时一事一票。</w:t>
      </w:r>
    </w:p>
    <w:bookmarkEnd w:id="0"/>
    <w:p w14:paraId="70B21DA6">
      <w:pPr>
        <w:pStyle w:val="2"/>
        <w:rPr>
          <w:rFonts w:hint="eastAsia" w:asciiTheme="minorEastAsia" w:hAnsiTheme="minorEastAsia"/>
          <w:color w:val="auto"/>
        </w:rPr>
      </w:pPr>
      <w:r>
        <w:rPr>
          <w:rFonts w:hint="eastAsia" w:asciiTheme="minorEastAsia" w:hAnsiTheme="minorEastAsia"/>
          <w:color w:val="auto"/>
        </w:rPr>
        <w:t>六、监理服务需求</w:t>
      </w:r>
    </w:p>
    <w:p w14:paraId="7C284D08">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（一）监理工作总体要求</w:t>
      </w:r>
    </w:p>
    <w:p w14:paraId="3120231E">
      <w:pPr>
        <w:pStyle w:val="4"/>
        <w:rPr>
          <w:rFonts w:hint="eastAsia" w:asciiTheme="minorEastAsia" w:hAnsiTheme="minorEastAsia"/>
          <w:color w:val="auto"/>
        </w:rPr>
      </w:pPr>
      <w:r>
        <w:rPr>
          <w:rFonts w:hint="eastAsia" w:asciiTheme="minorEastAsia" w:hAnsiTheme="minorEastAsia"/>
          <w:color w:val="auto"/>
        </w:rPr>
        <w:t>1、监理服务具体要求</w:t>
      </w:r>
    </w:p>
    <w:p w14:paraId="38F00F70">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按照“四控制、三管理、一协调”的原则，控制</w:t>
      </w:r>
      <w:r>
        <w:rPr>
          <w:rFonts w:hint="eastAsia" w:asciiTheme="minorEastAsia" w:hAnsiTheme="minorEastAsia"/>
          <w:color w:val="auto"/>
          <w:sz w:val="24"/>
        </w:rPr>
        <w:t>本项目</w:t>
      </w:r>
      <w:r>
        <w:rPr>
          <w:rFonts w:asciiTheme="minorEastAsia" w:hAnsiTheme="minorEastAsia"/>
          <w:color w:val="auto"/>
          <w:sz w:val="24"/>
        </w:rPr>
        <w:t>的质量、进度、投资，以实现项目建设的目标。</w:t>
      </w:r>
    </w:p>
    <w:p w14:paraId="6C8D17D9">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监理单位能够提供覆盖项目建设全过程的监理。从项目开工前的施工准备、安全交底、技术交底，到项目实施过程、隐蔽工程报验和验收、设备到货开箱和加电测试，到项目验收阶段，系统联调和测试，竣工资料的准备等。</w:t>
      </w:r>
    </w:p>
    <w:p w14:paraId="7BD8C9B4">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在承建单位进入工程实施后，负责建立良好的协调和沟通机制，以及必要的工作制度，加强建设方与工程承建单位之间的多方沟通，使承建单位能够更全面、准确的了解建设方的实际需求。同时，建设方也能够及时了解项目的进展情况，使建设方、承建单位和监理方形成良好的合作协调机制，形成合力，高质高效完成项目建设。</w:t>
      </w:r>
    </w:p>
    <w:p w14:paraId="46BEF18E">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项目建设的全过程有一套明确、合理、可行的标准、规程和检验方式，以及相应的监管办法。</w:t>
      </w:r>
    </w:p>
    <w:p w14:paraId="2645B578">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监理方要提供监理本工程所需的监理工具。</w:t>
      </w:r>
    </w:p>
    <w:p w14:paraId="5B4F911D">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保证项目的关键技术指标在项目实施过程中处于受控状态，及早预测可能影响实施计划的各种因素，及时预防和纠正可能影响系统功能和性能所出现的问题</w:t>
      </w:r>
      <w:r>
        <w:rPr>
          <w:rFonts w:hint="eastAsia" w:asciiTheme="minorEastAsia" w:hAnsiTheme="minorEastAsia"/>
          <w:color w:val="auto"/>
          <w:sz w:val="24"/>
        </w:rPr>
        <w:t>。</w:t>
      </w:r>
    </w:p>
    <w:p w14:paraId="167EDB2E">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确保项目保质、</w:t>
      </w:r>
      <w:r>
        <w:rPr>
          <w:rFonts w:hint="eastAsia" w:asciiTheme="minorEastAsia" w:hAnsiTheme="minorEastAsia"/>
          <w:color w:val="auto"/>
          <w:sz w:val="24"/>
          <w:lang w:eastAsia="zh-CN"/>
        </w:rPr>
        <w:t>按期</w:t>
      </w:r>
      <w:r>
        <w:rPr>
          <w:rFonts w:asciiTheme="minorEastAsia" w:hAnsiTheme="minorEastAsia"/>
          <w:color w:val="auto"/>
          <w:sz w:val="24"/>
        </w:rPr>
        <w:t>在合理的资金预算范围内</w:t>
      </w:r>
      <w:r>
        <w:rPr>
          <w:rFonts w:hint="eastAsia" w:asciiTheme="minorEastAsia" w:hAnsiTheme="minorEastAsia"/>
          <w:color w:val="auto"/>
          <w:sz w:val="24"/>
          <w:lang w:eastAsia="zh-CN"/>
        </w:rPr>
        <w:t>实施</w:t>
      </w:r>
      <w:r>
        <w:rPr>
          <w:rFonts w:asciiTheme="minorEastAsia" w:hAnsiTheme="minorEastAsia"/>
          <w:color w:val="auto"/>
          <w:sz w:val="24"/>
        </w:rPr>
        <w:t>建设。</w:t>
      </w:r>
    </w:p>
    <w:p w14:paraId="1BAB3ECB">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对工程质量水平进行综合评定。提交建设方所需要的工程质量技术文档，包括监理周报、月报、</w:t>
      </w:r>
      <w:r>
        <w:rPr>
          <w:rFonts w:hint="eastAsia" w:asciiTheme="minorEastAsia" w:hAnsiTheme="minorEastAsia"/>
          <w:color w:val="auto"/>
          <w:sz w:val="24"/>
        </w:rPr>
        <w:t>各种</w:t>
      </w:r>
      <w:r>
        <w:rPr>
          <w:rFonts w:asciiTheme="minorEastAsia" w:hAnsiTheme="minorEastAsia"/>
          <w:color w:val="auto"/>
          <w:sz w:val="24"/>
        </w:rPr>
        <w:t>文档</w:t>
      </w:r>
      <w:r>
        <w:rPr>
          <w:rFonts w:hint="eastAsia" w:asciiTheme="minorEastAsia" w:hAnsiTheme="minorEastAsia"/>
          <w:color w:val="auto"/>
          <w:sz w:val="24"/>
        </w:rPr>
        <w:t>、</w:t>
      </w:r>
      <w:r>
        <w:rPr>
          <w:rFonts w:asciiTheme="minorEastAsia" w:hAnsiTheme="minorEastAsia"/>
          <w:color w:val="auto"/>
          <w:sz w:val="24"/>
        </w:rPr>
        <w:t>报告和竣工报告等。</w:t>
      </w:r>
    </w:p>
    <w:p w14:paraId="1394A560">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按照中华人民共和国保守国家秘密法实施规范的管理对工程安全、信息和知识产权做好保障措施。</w:t>
      </w:r>
    </w:p>
    <w:p w14:paraId="48990D1F">
      <w:pPr>
        <w:pStyle w:val="4"/>
        <w:rPr>
          <w:rFonts w:hint="eastAsia" w:asciiTheme="minorEastAsia" w:hAnsiTheme="minorEastAsia"/>
          <w:color w:val="auto"/>
        </w:rPr>
      </w:pPr>
      <w:r>
        <w:rPr>
          <w:rFonts w:hint="eastAsia" w:asciiTheme="minorEastAsia" w:hAnsiTheme="minorEastAsia"/>
          <w:color w:val="auto"/>
        </w:rPr>
        <w:t>2、监理工作目标</w:t>
      </w:r>
    </w:p>
    <w:p w14:paraId="32992F6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坚持以“守法、诚信、公正、科学”作为监理原则，依据国家、省级的有关标准和规范实施监理，其监理目标包括： </w:t>
      </w:r>
    </w:p>
    <w:p w14:paraId="39BC9E1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（1）投资目标。通过可操作的付款控制流程，为采购人与承建方之间的收付款提供足够的依据；按需处理项目建设过程中相关的变更控制，保障投资效益。 </w:t>
      </w:r>
    </w:p>
    <w:p w14:paraId="140ACFF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质量目标。严格按照采购人的要求监督管理项目承建方，要求项目承建方在建设过程中保障项目实施的可靠与安全。监理方严格执行质量标准，按照国家相关国标要求，保障建设内容达到相应标准规范要求质量。 </w:t>
      </w:r>
    </w:p>
    <w:p w14:paraId="7DD94C95">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（3）进度目标。监测并督促采购人、承建方的相关工作环节，以及项目承建方的日常实施执行情况，确保运维运营及管理的工序正确、进度合理，确保完成项目进度目标。 </w:t>
      </w:r>
    </w:p>
    <w:p w14:paraId="145BFB2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（4）合同和项目管理的目标。对项目实施期间产生的各种合同、方案以及其产生过程，提供行之有效的过程审核。 </w:t>
      </w:r>
    </w:p>
    <w:p w14:paraId="27BDAC0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（5）文档管理目标。编制文档目录，对全部文档进行标准化、规范化的制作、归集、保管，确保产生的文档及时、完整、有效。</w:t>
      </w:r>
    </w:p>
    <w:p w14:paraId="327C70BD">
      <w:pPr>
        <w:pStyle w:val="4"/>
        <w:rPr>
          <w:rFonts w:hint="eastAsia" w:asciiTheme="minorEastAsia" w:hAnsiTheme="minorEastAsia"/>
          <w:color w:val="auto"/>
        </w:rPr>
      </w:pPr>
      <w:r>
        <w:rPr>
          <w:rFonts w:hint="eastAsia" w:asciiTheme="minorEastAsia" w:hAnsiTheme="minorEastAsia"/>
          <w:color w:val="auto"/>
        </w:rPr>
        <w:t>3、</w:t>
      </w:r>
      <w:r>
        <w:rPr>
          <w:rFonts w:asciiTheme="minorEastAsia" w:hAnsiTheme="minorEastAsia"/>
          <w:color w:val="auto"/>
        </w:rPr>
        <w:t>信息监理标准规范</w:t>
      </w:r>
    </w:p>
    <w:p w14:paraId="6AFDDC59">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GB/T 19668《信息技术服务监理》：</w:t>
      </w:r>
    </w:p>
    <w:p w14:paraId="27FB2C6F">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——第1部分：总则；</w:t>
      </w:r>
    </w:p>
    <w:p w14:paraId="69E45997">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——第2部分：基础设施工程监理规范；</w:t>
      </w:r>
    </w:p>
    <w:p w14:paraId="784DE9B1">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——第3部分：数据中心工程监理规范；</w:t>
      </w:r>
    </w:p>
    <w:p w14:paraId="600B2475">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——第4部分：运行维护监理规范；</w:t>
      </w:r>
    </w:p>
    <w:p w14:paraId="268291C5">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——第5部分：软件工程监理规范；</w:t>
      </w:r>
    </w:p>
    <w:p w14:paraId="7A1EF04E">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——第6部分：信息安全监理规范</w:t>
      </w:r>
      <w:r>
        <w:rPr>
          <w:rFonts w:hint="eastAsia" w:asciiTheme="minorEastAsia" w:hAnsiTheme="minorEastAsia"/>
          <w:color w:val="auto"/>
          <w:sz w:val="24"/>
        </w:rPr>
        <w:t>；</w:t>
      </w:r>
    </w:p>
    <w:p w14:paraId="0FF5D3F4">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以及其他国家、省相关法律法规、政策及制度等。</w:t>
      </w:r>
    </w:p>
    <w:p w14:paraId="64D0F59B">
      <w:pPr>
        <w:pStyle w:val="4"/>
        <w:rPr>
          <w:rFonts w:hint="eastAsia" w:asciiTheme="minorEastAsia" w:hAnsiTheme="minorEastAsia"/>
          <w:color w:val="auto"/>
        </w:rPr>
      </w:pPr>
      <w:r>
        <w:rPr>
          <w:rFonts w:hint="eastAsia" w:asciiTheme="minorEastAsia" w:hAnsiTheme="minorEastAsia"/>
          <w:color w:val="auto"/>
        </w:rPr>
        <w:t>4、</w:t>
      </w:r>
      <w:r>
        <w:rPr>
          <w:rFonts w:asciiTheme="minorEastAsia" w:hAnsiTheme="minorEastAsia"/>
          <w:color w:val="auto"/>
        </w:rPr>
        <w:t>监理服务依据</w:t>
      </w:r>
    </w:p>
    <w:p w14:paraId="3F6B1D77">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国家有关信息系统工程监理的法规；</w:t>
      </w:r>
    </w:p>
    <w:p w14:paraId="0B563620">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采购人与项目承建单位签订的合同；</w:t>
      </w:r>
    </w:p>
    <w:p w14:paraId="05671F94">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采购人与监理单位签订的监理合同；</w:t>
      </w:r>
    </w:p>
    <w:p w14:paraId="60331BD9">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（4）</w:t>
      </w:r>
      <w:r>
        <w:rPr>
          <w:rFonts w:asciiTheme="minorEastAsia" w:hAnsiTheme="minorEastAsia"/>
          <w:color w:val="auto"/>
          <w:sz w:val="24"/>
        </w:rPr>
        <w:t>有关国家和行业的技术规范和标准。</w:t>
      </w:r>
    </w:p>
    <w:p w14:paraId="23C03EAF">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（5）项目施工与监理招投标文件；</w:t>
      </w:r>
    </w:p>
    <w:p w14:paraId="213173CD">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（6）项目施工合同与监理合同；</w:t>
      </w:r>
    </w:p>
    <w:p w14:paraId="01344A1B">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（7）业主授予的其他权限。</w:t>
      </w:r>
    </w:p>
    <w:p w14:paraId="4E0B9DFD">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（二）监理工作内容</w:t>
      </w:r>
    </w:p>
    <w:p w14:paraId="2EB8C4E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中标人要按照相关国家标准在项目的实施、验收等所有阶段全方位地开展监理工作，协助采购人完成项目相关的日常管理、服务考核等工作，具体内容包括质量控制、进度控制、投资控制、变更控制、合同管理、信息及文档管理、安全管理、组织协调（协调有关单位工作关系）等。 </w:t>
      </w:r>
    </w:p>
    <w:p w14:paraId="0165EC7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对项目的建设过程进行全程监理。项目建设过程中产生的各类合同、文件、协议及相关标准规范制度，均为主要的监理依据。监理工作，应履行四控（质量控制、进度控制、投资控制、变更控制）、三管（合同管理、信息及文档管理）和一协调（协调有关单位工作关系）的职责。</w:t>
      </w:r>
    </w:p>
    <w:p w14:paraId="3E2D6D51">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1、质量控制 </w:t>
      </w:r>
    </w:p>
    <w:p w14:paraId="6FC79F5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依据有关的招标文件、投标文件、合同和承建方制定的项目实施方案，审查、监督、控制项目的质量。通过事前预防、事中控制、事后纠正等措施，依据国家</w:t>
      </w:r>
      <w:r>
        <w:rPr>
          <w:rFonts w:hint="eastAsia" w:cs="宋体" w:asciiTheme="minorEastAsia" w:hAnsiTheme="minorEastAsia"/>
          <w:color w:val="auto"/>
          <w:kern w:val="0"/>
          <w:sz w:val="24"/>
          <w:szCs w:val="24"/>
          <w:lang w:eastAsia="zh-CN"/>
        </w:rPr>
        <w:t>法律法规</w:t>
      </w:r>
      <w:r>
        <w:rPr>
          <w:rFonts w:hint="eastAsia" w:cs="宋体" w:asciiTheme="minorEastAsia" w:hAnsiTheme="minorEastAsia"/>
          <w:color w:val="auto"/>
          <w:kern w:val="0"/>
          <w:sz w:val="24"/>
          <w:szCs w:val="24"/>
        </w:rPr>
        <w:t xml:space="preserve">、标准以及项目合同、设计方案、监理规划、监理实施细则等文件控制项目质量。总体质量控制内容： </w:t>
      </w:r>
    </w:p>
    <w:p w14:paraId="58385C3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（1）根据各项目的特点，制定包括验收标准，验收方法和质量控制措施在内的详细监理控制方案； </w:t>
      </w:r>
    </w:p>
    <w:p w14:paraId="0535954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（2）协助采购人审查承建方单位及人员资质； </w:t>
      </w:r>
    </w:p>
    <w:p w14:paraId="73AB7CB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（3）控制计划变更，编制重大质量问题的处理预案，包括系统建设过程中可能出现的重大质量问题的处理预案； </w:t>
      </w:r>
    </w:p>
    <w:p w14:paraId="14DD12E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（4）组织项目质量事故的原因调查、问题分析、问题评估、事故处理； </w:t>
      </w:r>
    </w:p>
    <w:p w14:paraId="002A592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（5）组织项目的质量检查和验收； </w:t>
      </w:r>
    </w:p>
    <w:p w14:paraId="73ABA42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（6）督促项目承建方整改存在问题； </w:t>
      </w:r>
    </w:p>
    <w:p w14:paraId="1AC47A35">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（7）协助采购人开展项目竣工验收和交接，并对整个过程提出审核意见。 </w:t>
      </w:r>
    </w:p>
    <w:p w14:paraId="7E90FA9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（8）系统集成质量的控制：系统集成方案的审核和确认；对采购的硬件设备的质量进行检验和验收；对设备配发、安装、调试进行监督、检查和验收；参与对系统集成的总体验收。 </w:t>
      </w:r>
    </w:p>
    <w:p w14:paraId="1AEBAEE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（9）培训的质量控制：审核确认承建方的培训计划；监督承建方实施其培训计划，并征求用户的反馈意见；审核确认承建方的培训总结报告。 </w:t>
      </w:r>
    </w:p>
    <w:p w14:paraId="5EA0D72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详细质量控制内容，从事前质量控制、事中质量控制、事后质量控制三个方面具体开展工作，具体如下： </w:t>
      </w:r>
    </w:p>
    <w:p w14:paraId="5B6B2F8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1.事前质量控制 </w:t>
      </w:r>
    </w:p>
    <w:p w14:paraId="3A0B8D5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事前质量控制，是本项目中的一个关键。由于项目中的各个阶段之间密切相关，因此，质量的前期把握主要体现在质量控制计划的实际性和有效性上。作为监理机构主要工作包括： </w:t>
      </w:r>
    </w:p>
    <w:p w14:paraId="6839EBA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（1）充分参与并监测采购人的业务需求和建设要求、施工方对业务需求的调研，并将其作为监理工作的依据。 </w:t>
      </w:r>
    </w:p>
    <w:p w14:paraId="1112C74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（2）依据采购人需要，监督开展方案论证、规划设计、设备选型、技术参数确定、需求论证、招标论证等工作并提出监理意见，并做好会议记录，出具会议纪要。 </w:t>
      </w:r>
    </w:p>
    <w:p w14:paraId="1873C59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（3）监理工程师结合本项目的条件，全面分析承建方编制的实施方案的合理性和可行性。 </w:t>
      </w:r>
    </w:p>
    <w:p w14:paraId="2C6EE5D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（4）自行协助采购人审核项目承建方和人员资质，以及人员岗位职责，出具监理审核报告。 </w:t>
      </w:r>
    </w:p>
    <w:p w14:paraId="3573B88E">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（5）自行协助采购人制定项目验收标准、验收方法和</w:t>
      </w:r>
      <w:r>
        <w:rPr>
          <w:rFonts w:hint="eastAsia" w:cs="宋体" w:asciiTheme="minorEastAsia" w:hAnsiTheme="minorEastAsia"/>
          <w:color w:val="auto"/>
          <w:kern w:val="0"/>
          <w:sz w:val="24"/>
          <w:szCs w:val="24"/>
          <w:lang w:eastAsia="zh-CN"/>
        </w:rPr>
        <w:t>验收</w:t>
      </w:r>
      <w:r>
        <w:rPr>
          <w:rFonts w:hint="eastAsia" w:cs="宋体" w:asciiTheme="minorEastAsia" w:hAnsiTheme="minorEastAsia"/>
          <w:color w:val="auto"/>
          <w:kern w:val="0"/>
          <w:sz w:val="24"/>
          <w:szCs w:val="24"/>
        </w:rPr>
        <w:t xml:space="preserve">要求，并出具文档。 </w:t>
      </w:r>
    </w:p>
    <w:p w14:paraId="337BDE7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（6）控制计划变更，编制重大质量问题的处理预案，包括系统建设过程中可能出现的重大质量问题的处理预案。 </w:t>
      </w:r>
    </w:p>
    <w:p w14:paraId="3211CAD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（7）项目承建方向监理方提交项目实施方案，实施方案一经监理机构批准确认后，即应当视为合同文件的一部分，并与合同具有同等效力，它是以后处理项目承建方的项目质量或费用索赔的重要依据。</w:t>
      </w:r>
    </w:p>
    <w:p w14:paraId="6F9EF3D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2.事中质量控制 </w:t>
      </w:r>
    </w:p>
    <w:p w14:paraId="3FFC79B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（1）全程控制并审核项目承建方提</w:t>
      </w:r>
      <w:r>
        <w:rPr>
          <w:rFonts w:hint="eastAsia" w:cs="宋体" w:asciiTheme="minorEastAsia" w:hAnsiTheme="minorEastAsia"/>
          <w:color w:val="auto"/>
          <w:kern w:val="0"/>
          <w:sz w:val="24"/>
          <w:szCs w:val="24"/>
          <w:lang w:eastAsia="zh-CN"/>
        </w:rPr>
        <w:t>交的</w:t>
      </w:r>
      <w:r>
        <w:rPr>
          <w:rFonts w:hint="eastAsia" w:cs="宋体" w:asciiTheme="minorEastAsia" w:hAnsiTheme="minorEastAsia"/>
          <w:color w:val="auto"/>
          <w:kern w:val="0"/>
          <w:sz w:val="24"/>
          <w:szCs w:val="24"/>
        </w:rPr>
        <w:t xml:space="preserve">项目实施方案与项目合同、需求的符合性。 </w:t>
      </w:r>
    </w:p>
    <w:p w14:paraId="53D6EED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（2）评估项目承建方所使用的关键技术实现方法、工作流程及保障措施的合理性、可行性。 </w:t>
      </w:r>
    </w:p>
    <w:p w14:paraId="7795D49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承建方提供的货物及服务内容进行核查，对核查结果做好文字记录，并经采购人、中标人和承建方三方签认；对不符合合同或相关标准规定的货物及服务应及时以文字报告的形式提交采购人认定；没有被认定的货物和服务不得在项目实施中应用。 </w:t>
      </w:r>
    </w:p>
    <w:p w14:paraId="4A09BC4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（4）审核确认项目承建方的培训计划；监督项目承建方实施其培训计划，并征求用户的反馈意见；审核确认承建方的培训总结报告。 </w:t>
      </w:r>
    </w:p>
    <w:p w14:paraId="72891A1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（5）负责分析、判断项目承建方的阶段性质量监督、控制措施，并做监理日志；出现质量问题并经确认后，中标人签发监理通知单，报采购人，并责令承建方整改。 </w:t>
      </w:r>
    </w:p>
    <w:p w14:paraId="10BB52A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（6）及时处理项目承建方提交的项目中关键环节的实施申请，审核其合理性后签认，报采购人认可。 </w:t>
      </w:r>
    </w:p>
    <w:p w14:paraId="7D5DB5A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（7）及时协调处理采购人与项目承建方的关键环节工作安排及其流程（步骤）衔接工作，审核其合理性后签认，并做监理日志。 </w:t>
      </w:r>
    </w:p>
    <w:p w14:paraId="0F0E358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（8）按照监理细则规定的程序处理质量事故：组织硬件设备、系统集成项目等质量事故的原因调查、问题分析、问题评估、事故处理。 </w:t>
      </w:r>
    </w:p>
    <w:p w14:paraId="2F28A46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（9）若发现隐患，应及时向项目承建方签发停工令，并报采购人知晓，同时监督承建方进行整改；整改完毕后，及时处理复工申请。 </w:t>
      </w:r>
    </w:p>
    <w:p w14:paraId="4538093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10）监理方协助采购人组织现场协调会、监理例会和专业性监理会议：监理方应依据现场实施情况，定期或不定期召开不同层级的现场协调会议，解决项目过程中的相互配合问题。在协调会上通报重大变更事项及项目的完成状况，处理工作中的交接、场地与公用设施使用的矛盾。 </w:t>
      </w:r>
    </w:p>
    <w:p w14:paraId="11C752B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3.事后质量控制 </w:t>
      </w:r>
    </w:p>
    <w:p w14:paraId="26BDCD8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（1）协助采购人完成项目初验（指达到竣工验收条件，下同）、试运行、终验和支付。 </w:t>
      </w:r>
    </w:p>
    <w:p w14:paraId="5A8204E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（2）审核验收计划及其方案：明确验收目标、各方责任、验收内容、验收标准、验收方式和验收结果等内容，审核后签署监理审核意见。 </w:t>
      </w:r>
    </w:p>
    <w:p w14:paraId="4903552E">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（3）负责对本项目各包提交的验收材料是否齐全规范进行审核把关。 </w:t>
      </w:r>
    </w:p>
    <w:p w14:paraId="1FE7AD3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（4）和采购人一起对验收中发现的质量问题进行评估，根据质量问题的性质和影响范围，确定整改要求和整改后的验收方式，且以监理通知单的形式告知承建方。 </w:t>
      </w:r>
    </w:p>
    <w:p w14:paraId="15EBDE5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（5）监督项目承建方根据整改要求提出整改方案，并监督整改过程，持续跟踪整改进度直至完成。 </w:t>
      </w:r>
    </w:p>
    <w:p w14:paraId="14BE33A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（6）监理方负责组织协助采购人开展项目初验工作，与采购人、项目承建方共同确认初验结果，出具初验合格报告。 </w:t>
      </w:r>
    </w:p>
    <w:p w14:paraId="5FD1864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初验后，终验前，监理方负责审核项目承建方提交试运行申请及方案，督促承建方严格按照试运行方案，开展试运行工作，每天形成试运行记录，监理方监督及检查试运行工作开展情况，及时记录试运行质量问题，督促项目承建方进行问题整改，形成监理过程记录，并出具监理督查建议书。 </w:t>
      </w:r>
    </w:p>
    <w:p w14:paraId="041868F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（8）对于大幅度变化的关键性技术指标，在论证其影响时，要求项目承建方出具测试机构的测试报告；测试机构应经采购人和中标人同意。 </w:t>
      </w:r>
    </w:p>
    <w:p w14:paraId="377FC78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（9）督促项目承建方完成项目实施方案中确定的培训，并出具培训效果评估报告，督促承建方汇总培训过程资料并及时进行归档。 </w:t>
      </w:r>
    </w:p>
    <w:p w14:paraId="3C15C92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（10）验收完成后，项目承建方如有项目遗留的事项，必须跟踪督促项目承建方完成后续工作。</w:t>
      </w:r>
    </w:p>
    <w:p w14:paraId="2AD1B6F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（11）对于项目承建方外采的第三方服务，及时追踪其采购，督促完成。</w:t>
      </w:r>
    </w:p>
    <w:p w14:paraId="4A65734E">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2、进度控制 </w:t>
      </w:r>
    </w:p>
    <w:p w14:paraId="3105530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审查项目承建方相关工作的进度计划，并监督计划的执行，通过事前预防、事中控制、事后纠正的措施，确保工序正确、进度合理。 </w:t>
      </w:r>
    </w:p>
    <w:p w14:paraId="344FD9C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1.事前进度控制 </w:t>
      </w:r>
    </w:p>
    <w:p w14:paraId="7662D97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协助编制项目进度总体计划，明确里程牌时间节点，中标人审核进度计划的合理性，监控计划的执行，进行项目进度管理，分析其内容及过程，对进度提出监理意见，中标人负责计划的执行跟进情况，及时发现当前计划有无偏离，及时进行纠偏，严格控制计划的执行情况，如计划有调整，督促承建方及时进行计划调整，提交新的进度计划。 </w:t>
      </w:r>
    </w:p>
    <w:p w14:paraId="493DCE8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2.事中进度控制 </w:t>
      </w:r>
    </w:p>
    <w:p w14:paraId="6329B7B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（1）审核进度计划的可行性、合理性及各阶段工作成果，签署监理审核意见。 </w:t>
      </w:r>
    </w:p>
    <w:p w14:paraId="527A903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（2）根据进度计划，确定阶段性进度监督、控制的措施及方法，作为监理细则的内容；督促承建方提交阶段性进度计划，审核阶段性进度计划合理性，签署审核意见。 </w:t>
      </w:r>
    </w:p>
    <w:p w14:paraId="42FAB3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（3）审核开工申请，检查开工准备情况，签发开工令，并报采购人签认后，通知项目承建方开始项目实施。 </w:t>
      </w:r>
    </w:p>
    <w:p w14:paraId="26C0EC6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（4）对项目实施进度进行实时跟踪，定期检查、记录实际进度情况，确保实际进度与计划相一致；并要求项目承建方对进度计划进行动态调整，以确保总体进度目标的实现。 </w:t>
      </w:r>
    </w:p>
    <w:p w14:paraId="5239120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（5）若发现项目承建方项目未能按计划进行时，需向采购人详细报告，并分析原因和提出对策，同时要求项目承建方采取必要措施调整实施进度，以使实际项目进度符合合同的要求。 </w:t>
      </w:r>
    </w:p>
    <w:p w14:paraId="7275EA7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3．事后进度控制 </w:t>
      </w:r>
    </w:p>
    <w:p w14:paraId="30AFBE9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对验收阶段的进度安排提出监理意见，并督促项目承建方完成项目遗留的事项。 </w:t>
      </w:r>
    </w:p>
    <w:p w14:paraId="612FF3C8">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3、项目投资控制 </w:t>
      </w:r>
    </w:p>
    <w:p w14:paraId="07A837B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（1）通过对项目的设计方案、实施方案、变更方案进行评估和优化，确保投资控制在</w:t>
      </w:r>
      <w:r>
        <w:rPr>
          <w:rFonts w:hint="eastAsia" w:cs="宋体" w:asciiTheme="minorEastAsia" w:hAnsiTheme="minorEastAsia"/>
          <w:color w:val="auto"/>
          <w:kern w:val="0"/>
          <w:sz w:val="24"/>
          <w:szCs w:val="24"/>
          <w:lang w:eastAsia="zh-CN"/>
        </w:rPr>
        <w:t>预算</w:t>
      </w:r>
      <w:r>
        <w:rPr>
          <w:rFonts w:hint="eastAsia" w:cs="宋体" w:asciiTheme="minorEastAsia" w:hAnsiTheme="minorEastAsia"/>
          <w:color w:val="auto"/>
          <w:kern w:val="0"/>
          <w:sz w:val="24"/>
          <w:szCs w:val="24"/>
        </w:rPr>
        <w:t xml:space="preserve">合理范围内。 </w:t>
      </w:r>
    </w:p>
    <w:p w14:paraId="5B6D5AB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（2）从项目的质量、进度等方面对项目变更进行审核，协助采购人做好未预期的变更成本控制。 </w:t>
      </w:r>
    </w:p>
    <w:p w14:paraId="0D3D068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（3）提出预算建议，开展审核项目建设清单等投资控制工作。 </w:t>
      </w:r>
    </w:p>
    <w:p w14:paraId="793034CB">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4、变更控制 </w:t>
      </w:r>
    </w:p>
    <w:p w14:paraId="4966421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（1）及时处理变更申请，审核变更的合理性，保证总体质量、进度不受影响。 </w:t>
      </w:r>
    </w:p>
    <w:p w14:paraId="7302270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（2）对项目变更控制，要明确界定变更的目标，防止变更范围扩大化，并进行变更风险和变更效果的评估。 </w:t>
      </w:r>
    </w:p>
    <w:p w14:paraId="349FF3A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（3）对项目承建方提出的设计变更申请进行初步审核，出具书面意见并报项目各方审定，且应有变更清单及会议纪要。 </w:t>
      </w:r>
    </w:p>
    <w:p w14:paraId="775281C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（4）中标人协助采购人对项目针对性的构建一个变更控制机制，通过它对项目计划、流程、预算、进度或可交付成果的变更申请进行评估。 </w:t>
      </w:r>
    </w:p>
    <w:p w14:paraId="334915F8">
      <w:pPr>
        <w:autoSpaceDE w:val="0"/>
        <w:snapToGrid w:val="0"/>
        <w:spacing w:line="360" w:lineRule="auto"/>
        <w:ind w:firstLine="48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4"/>
          <w:szCs w:val="24"/>
        </w:rPr>
        <w:t xml:space="preserve">（5）根据项目制定出的计划成本，通过采用成本分析方法找出计划成本与实际成本间的偏差和分析产生偏差的原因与变化发展趋势，进而督促承建方采取措施以减少或消除偏差，实现目标成本。 </w:t>
      </w:r>
    </w:p>
    <w:p w14:paraId="15DC95F3">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5、合同管理 </w:t>
      </w:r>
    </w:p>
    <w:p w14:paraId="4A71505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（1）协助采购人与项目承建方签订合同；协助处理各类合同（协议）执行过程中的延期、纠纷调解及违约、索赔、仲裁等问题。 </w:t>
      </w:r>
    </w:p>
    <w:p w14:paraId="7824C5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（2）监督履行协议：跟踪检查各类合同（协议）的执行情况，确保按时履约；对工期的延误、暂停、复工等事宜进行审核确认。 </w:t>
      </w:r>
    </w:p>
    <w:p w14:paraId="35B583B7">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（3）按需监督相关单位和个人签署保密协议，履行保密义务，一式 3 份，分别留存采购人、项目承建方及中标人。 </w:t>
      </w:r>
    </w:p>
    <w:p w14:paraId="0F8ADD0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（4）协调相关单位签署廉政承诺书，规范履约行为，预防合同履约过程中违纪违法情况发生。 </w:t>
      </w:r>
    </w:p>
    <w:p w14:paraId="5D4DE4FA">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6、安全管理 </w:t>
      </w:r>
    </w:p>
    <w:p w14:paraId="105634B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（1）保证各项安全措施的实施，针对项目建设过程中的网络安全、数据安全、密码安全等进行监理管控措施，出具安全管理监理措施技术方案，并进行有效控制； </w:t>
      </w:r>
    </w:p>
    <w:p w14:paraId="56305D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（2）负责项目建设过程中所涉及的政府机密数据和资料的保护，保证不被非授权使用； </w:t>
      </w:r>
    </w:p>
    <w:p w14:paraId="187B9F2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（3）负责项目建设施工过程中安全控制，确保不出现安全事故。 </w:t>
      </w:r>
    </w:p>
    <w:p w14:paraId="5996064B">
      <w:pPr>
        <w:pStyle w:val="5"/>
        <w:snapToGrid w:val="0"/>
        <w:spacing w:line="360" w:lineRule="auto"/>
        <w:ind w:firstLine="480" w:firstLineChars="200"/>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（4）承担安全生产主体责任，负责对监理人员开展安全培训教育，确保监理人员自身安全。</w:t>
      </w:r>
    </w:p>
    <w:p w14:paraId="6B7C44A2">
      <w:pPr>
        <w:pStyle w:val="5"/>
        <w:autoSpaceDE w:val="0"/>
        <w:snapToGrid w:val="0"/>
        <w:spacing w:line="360" w:lineRule="auto"/>
        <w:ind w:firstLine="562" w:firstLineChars="200"/>
        <w:rPr>
          <w:rFonts w:hint="eastAsia"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7、信息及文档管理</w:t>
      </w:r>
    </w:p>
    <w:p w14:paraId="1961EF7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（1）负责实施项目各环节的例会、周会、技术讨论会、评审会等的会务，并按要求形成会议纪要，留存会议签到表。 </w:t>
      </w:r>
    </w:p>
    <w:p w14:paraId="5D2B8DC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（2）不定期以抽查形式，对承建方所存文档进行检查，及时形成工作检查记录，若承建方的操作不符合文档管理制度要求，责令其整改。 </w:t>
      </w:r>
    </w:p>
    <w:p w14:paraId="6AEBE3D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中各类文档进行标准化、规范化的制作和管理，确保文档及时、完整和有效。负责收集、管理监理工作各类文书资料，对监理工作文档、收发文签收登记等进行管理；收集项目进展过程中各类日志、会议纪要、备忘录、电子邮件、传真、电话记录等资料，完成资料的整理、审核，按归档要求进行分类整理归档，按时完成竣工验收资料（包括监理工作方面的资料）。 </w:t>
      </w:r>
    </w:p>
    <w:p w14:paraId="768F837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（4）协助做好固定资产的清点入库、资产管理、文档制定和制度建设等。 </w:t>
      </w:r>
    </w:p>
    <w:p w14:paraId="7AB2810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（5）建立项目的进度台账，每周提交一次项目进度表和一周工作报告，总结一周内的监理工作并列出下周工作安排；每月提交一次月度工作报告，总结一个月内的监理工作并列出下月工作安排。 </w:t>
      </w:r>
    </w:p>
    <w:p w14:paraId="2D0C066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（6）应及时向采购人反映项目实施的动态信息，提交监理情况的工作文档，建立全面、准确反映项目实施状况的图表、文档，收集和管理各类文档资料。 </w:t>
      </w:r>
    </w:p>
    <w:p w14:paraId="415EDE82">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8、组织协调 </w:t>
      </w:r>
    </w:p>
    <w:p w14:paraId="6F8AFE6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（1）协调采购人实施安全检查和服务考评工作，并提供监理意见。督促检查项目承建方的服务运维工作和制度规范落实情况。 </w:t>
      </w:r>
    </w:p>
    <w:p w14:paraId="424FE707">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（2）采购人组织或委托中标人召开例会，研讨近期重点工作内容、难点问题、解决方案和工作计划。中标人应根据要求组织会议，会后 1 日内发出会议纪要，并及时发至相关单位指定的联络人；必要时督促相关单位对会议纪要签字盖章。 </w:t>
      </w:r>
    </w:p>
    <w:p w14:paraId="0E5ED76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（3）督促项目承建方要求其基于现场跟踪、文档审阅、上报流程等形成实施文档；文档要做到内容真实、数据可靠、表述清晰，以备查验。 </w:t>
      </w:r>
    </w:p>
    <w:p w14:paraId="677963E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（4）所有涉及项目实施情况的信息，必须经采购人审核后方能对外发布。 </w:t>
      </w:r>
    </w:p>
    <w:p w14:paraId="36FB641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（5）采购人、项目承建方和中标人之间的沟通，可采用电话、邮件、会议等形式，重要事项采用公文形式进行沟通。若沟通存在分歧及问题时，中标人应告知采购人牵头进行协调。</w:t>
      </w:r>
    </w:p>
    <w:p w14:paraId="653AF2BC">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9、知识产权管理 </w:t>
      </w:r>
    </w:p>
    <w:p w14:paraId="217EFB3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（1）审核合同中关于对知识产权有关条款的界定是否合理。 </w:t>
      </w:r>
    </w:p>
    <w:p w14:paraId="1F78AD4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（2）审核涉及知识产权的产品、设备、系统的产权证明文件和定制软件的所属方。</w:t>
      </w:r>
    </w:p>
    <w:p w14:paraId="739B272B">
      <w:pPr>
        <w:spacing w:line="360" w:lineRule="auto"/>
        <w:ind w:firstLine="480" w:firstLineChars="200"/>
        <w:rPr>
          <w:rFonts w:hint="eastAsia" w:asciiTheme="minorEastAsia" w:hAnsiTheme="minorEastAsia"/>
          <w:color w:val="auto"/>
          <w:sz w:val="24"/>
          <w:szCs w:val="24"/>
        </w:rPr>
      </w:pPr>
      <w:r>
        <w:rPr>
          <w:rFonts w:hint="eastAsia" w:cs="宋体" w:asciiTheme="minorEastAsia" w:hAnsiTheme="minorEastAsia"/>
          <w:color w:val="auto"/>
          <w:kern w:val="0"/>
          <w:sz w:val="24"/>
          <w:szCs w:val="24"/>
        </w:rPr>
        <w:t>（3）根据合同中有关知识产权归属的约定，跟踪、审查承建方的执行情况。</w:t>
      </w:r>
    </w:p>
    <w:p w14:paraId="223AA24C">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（三）监理工作</w:t>
      </w:r>
      <w:r>
        <w:rPr>
          <w:rFonts w:hint="eastAsia" w:asciiTheme="minorEastAsia" w:hAnsiTheme="minorEastAsia" w:eastAsiaTheme="minorEastAsia"/>
          <w:color w:val="auto"/>
          <w:lang w:eastAsia="zh-CN"/>
        </w:rPr>
        <w:t>其他</w:t>
      </w:r>
      <w:r>
        <w:rPr>
          <w:rFonts w:hint="eastAsia" w:asciiTheme="minorEastAsia" w:hAnsiTheme="minorEastAsia" w:eastAsiaTheme="minorEastAsia"/>
          <w:color w:val="auto"/>
        </w:rPr>
        <w:t>要求</w:t>
      </w:r>
    </w:p>
    <w:p w14:paraId="3E70F2E2">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rPr>
        <w:t>（1）</w:t>
      </w:r>
      <w:r>
        <w:rPr>
          <w:rFonts w:hint="eastAsia" w:asciiTheme="minorEastAsia" w:hAnsiTheme="minorEastAsia"/>
          <w:color w:val="auto"/>
          <w:kern w:val="0"/>
          <w:sz w:val="24"/>
          <w:lang w:val="zh-CN"/>
        </w:rPr>
        <w:t>监理单位应根据每个项目的实际情况编制项目监理规划，确定项目监理机构的具体工作目标和任务，规定具体的监理工作制度、程序、方法和措施。</w:t>
      </w:r>
    </w:p>
    <w:p w14:paraId="0E22A790">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（2）监理单位应编制项目监理实施方案，实施方案应符合项目监理大纲的要求，并应结合工程项目的特点，做到详细具体，可操作。</w:t>
      </w:r>
    </w:p>
    <w:p w14:paraId="62830285">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（3）监理公司应该在质量控制、投资控制、进度控制、信息管理、合同管理等几个方面对监理工程采取必要和完善的监督、控制和管理措施，保证监理工程能够按时、按质、按量竣工。</w:t>
      </w:r>
    </w:p>
    <w:p w14:paraId="5704A5E5">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（4）监理公司必须定时（每周）向项目建设单位通报工程进展情况及工程实施过程中所遇到的问题。</w:t>
      </w:r>
    </w:p>
    <w:p w14:paraId="685D2C83">
      <w:pPr>
        <w:widowControl/>
        <w:adjustRightInd w:val="0"/>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（5）</w:t>
      </w:r>
      <w:r>
        <w:rPr>
          <w:rFonts w:hint="eastAsia" w:asciiTheme="minorEastAsia" w:hAnsiTheme="minorEastAsia"/>
          <w:color w:val="auto"/>
          <w:kern w:val="0"/>
          <w:sz w:val="24"/>
          <w:lang w:val="zh-CN"/>
        </w:rPr>
        <w:t>监理单位有责任为建设单位提供项目顾问咨询意见，有义务帮助承建单位实现合同所规定的目标，公正维护各方的合法权益。</w:t>
      </w:r>
    </w:p>
    <w:p w14:paraId="59819420">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（6）在本合同期内及合同终止后，未征得建设单位书面同意，不得泄露与本项目有关的资料。</w:t>
      </w:r>
    </w:p>
    <w:p w14:paraId="5B1C771A">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（7）由于承建单位在项目实施中不符合项目规范和质量要求，监理单位要监督承建单位停工整改或返工。如承建单位人员工作不力，可提出调换有关人员。</w:t>
      </w:r>
    </w:p>
    <w:p w14:paraId="6E11F45D">
      <w:pPr>
        <w:spacing w:line="360" w:lineRule="auto"/>
        <w:ind w:left="-1"/>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如果承建单位违反合同规定的质量要求和完工时限，监理单位应协助建设单位追究有关承建单位的责任。</w:t>
      </w:r>
    </w:p>
    <w:p w14:paraId="41D87E69">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8）监理公司在中标后与建设方签订保密协议，同时要求必须对工程技术文件以及由建设方等相关单位提供的所有内部资料、技术文档和信息予以保密，未经书面许可，不得以任何形式向第三方透露本项目的任何内容。</w:t>
      </w:r>
    </w:p>
    <w:p w14:paraId="297647E8">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（9）</w:t>
      </w:r>
      <w:r>
        <w:rPr>
          <w:rFonts w:hint="eastAsia" w:asciiTheme="minorEastAsia" w:hAnsiTheme="minorEastAsia"/>
          <w:color w:val="auto"/>
          <w:sz w:val="24"/>
          <w:szCs w:val="24"/>
        </w:rPr>
        <w:t>监理例会定于至少每月召开一次，会议地点可根据实际情况选定，会议由建设单位、承建单位、监理单位参加，每次会议监理单位负责会议记录的工作，会议的主要议题是上月工作总结、问题分析解决方案、本月工作计划确定及其他内容。</w:t>
      </w:r>
    </w:p>
    <w:p w14:paraId="39B146E1">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（四）监理组织机构</w:t>
      </w:r>
    </w:p>
    <w:p w14:paraId="60F8F709">
      <w:pPr>
        <w:pStyle w:val="4"/>
        <w:rPr>
          <w:rFonts w:hint="eastAsia" w:asciiTheme="minorEastAsia" w:hAnsiTheme="minorEastAsia"/>
          <w:color w:val="auto"/>
        </w:rPr>
      </w:pPr>
      <w:r>
        <w:rPr>
          <w:rFonts w:asciiTheme="minorEastAsia" w:hAnsiTheme="minorEastAsia"/>
          <w:color w:val="auto"/>
        </w:rPr>
        <w:t>1</w:t>
      </w:r>
      <w:r>
        <w:rPr>
          <w:rFonts w:hint="eastAsia" w:asciiTheme="minorEastAsia" w:hAnsiTheme="minorEastAsia"/>
          <w:color w:val="auto"/>
        </w:rPr>
        <w:t>、监理机构</w:t>
      </w:r>
    </w:p>
    <w:p w14:paraId="4A29F12E">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在项目实施期内设立项目监理机构，由监理单位在采购人指定区域内设置办公场所，负责项目全部监理工作。根据项目的具体情况配备满足监理工作需要的办公场所、人员、设备、工具和车辆，应妥善使用采购人提供的设施。</w:t>
      </w:r>
    </w:p>
    <w:p w14:paraId="4616548B">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监理机构应遵守相应的监理工作制度，包括会议制度、监理文件制度、监理记录制度、工作报告制度等，保证监理工作协调有序的进行。</w:t>
      </w:r>
    </w:p>
    <w:p w14:paraId="61B62260">
      <w:pPr>
        <w:pStyle w:val="4"/>
        <w:rPr>
          <w:rFonts w:hint="eastAsia" w:asciiTheme="minorEastAsia" w:hAnsiTheme="minorEastAsia"/>
          <w:color w:val="auto"/>
        </w:rPr>
      </w:pPr>
      <w:r>
        <w:rPr>
          <w:rFonts w:asciiTheme="minorEastAsia" w:hAnsiTheme="minorEastAsia"/>
          <w:color w:val="auto"/>
        </w:rPr>
        <w:t>2</w:t>
      </w:r>
      <w:r>
        <w:rPr>
          <w:rFonts w:hint="eastAsia" w:asciiTheme="minorEastAsia" w:hAnsiTheme="minorEastAsia"/>
          <w:color w:val="auto"/>
        </w:rPr>
        <w:t>、监理机构人员配备</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701"/>
        <w:gridCol w:w="1985"/>
      </w:tblGrid>
      <w:tr w14:paraId="6F5E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3519A76">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执业资格</w:t>
            </w:r>
          </w:p>
        </w:tc>
        <w:tc>
          <w:tcPr>
            <w:tcW w:w="2410" w:type="dxa"/>
            <w:vAlign w:val="center"/>
          </w:tcPr>
          <w:p w14:paraId="0C9F75B1">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岗位</w:t>
            </w:r>
          </w:p>
        </w:tc>
        <w:tc>
          <w:tcPr>
            <w:tcW w:w="1701" w:type="dxa"/>
            <w:vAlign w:val="center"/>
          </w:tcPr>
          <w:p w14:paraId="5C72AC17">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人员配额</w:t>
            </w:r>
          </w:p>
        </w:tc>
        <w:tc>
          <w:tcPr>
            <w:tcW w:w="1985" w:type="dxa"/>
          </w:tcPr>
          <w:p w14:paraId="3640CF50">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备注</w:t>
            </w:r>
          </w:p>
        </w:tc>
      </w:tr>
      <w:tr w14:paraId="217C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14:paraId="05EDF1C0">
            <w:pPr>
              <w:jc w:val="center"/>
              <w:rPr>
                <w:rFonts w:hint="eastAsia" w:asciiTheme="minorEastAsia" w:hAnsiTheme="minorEastAsia"/>
                <w:color w:val="auto"/>
              </w:rPr>
            </w:pPr>
            <w:r>
              <w:rPr>
                <w:rFonts w:hint="eastAsia" w:asciiTheme="minorEastAsia" w:hAnsiTheme="minorEastAsia"/>
                <w:color w:val="auto"/>
                <w:kern w:val="0"/>
                <w:sz w:val="24"/>
                <w:lang w:val="zh-CN"/>
              </w:rPr>
              <w:t>信息系统监理师</w:t>
            </w:r>
          </w:p>
        </w:tc>
        <w:tc>
          <w:tcPr>
            <w:tcW w:w="2410" w:type="dxa"/>
            <w:vAlign w:val="center"/>
          </w:tcPr>
          <w:p w14:paraId="145FF7D8">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kern w:val="0"/>
                <w:sz w:val="24"/>
                <w:lang w:val="zh-CN"/>
              </w:rPr>
              <w:t>总监理工程师</w:t>
            </w:r>
          </w:p>
        </w:tc>
        <w:tc>
          <w:tcPr>
            <w:tcW w:w="1701" w:type="dxa"/>
            <w:vAlign w:val="center"/>
          </w:tcPr>
          <w:p w14:paraId="40B3C993">
            <w:pPr>
              <w:spacing w:line="360" w:lineRule="auto"/>
              <w:jc w:val="center"/>
              <w:rPr>
                <w:rFonts w:hint="eastAsia" w:asciiTheme="minorEastAsia" w:hAnsiTheme="minorEastAsia"/>
                <w:b/>
                <w:color w:val="auto"/>
                <w:spacing w:val="20"/>
                <w:sz w:val="24"/>
              </w:rPr>
            </w:pPr>
            <w:r>
              <w:rPr>
                <w:rFonts w:hint="eastAsia" w:asciiTheme="minorEastAsia" w:hAnsiTheme="minorEastAsia"/>
                <w:color w:val="auto"/>
                <w:spacing w:val="20"/>
                <w:sz w:val="24"/>
              </w:rPr>
              <w:t xml:space="preserve">1人 </w:t>
            </w:r>
          </w:p>
        </w:tc>
        <w:tc>
          <w:tcPr>
            <w:tcW w:w="1985" w:type="dxa"/>
            <w:vMerge w:val="restart"/>
          </w:tcPr>
          <w:p w14:paraId="4C48D768">
            <w:pPr>
              <w:jc w:val="left"/>
              <w:rPr>
                <w:rFonts w:hint="eastAsia" w:asciiTheme="minorEastAsia" w:hAnsiTheme="minorEastAsia"/>
                <w:color w:val="auto"/>
                <w:spacing w:val="20"/>
                <w:sz w:val="24"/>
              </w:rPr>
            </w:pPr>
          </w:p>
        </w:tc>
      </w:tr>
      <w:tr w14:paraId="5874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continue"/>
            <w:vAlign w:val="center"/>
          </w:tcPr>
          <w:p w14:paraId="19D873B8">
            <w:pPr>
              <w:jc w:val="center"/>
              <w:rPr>
                <w:rFonts w:hint="eastAsia" w:asciiTheme="minorEastAsia" w:hAnsiTheme="minorEastAsia"/>
                <w:color w:val="auto"/>
              </w:rPr>
            </w:pPr>
          </w:p>
        </w:tc>
        <w:tc>
          <w:tcPr>
            <w:tcW w:w="2410" w:type="dxa"/>
            <w:vAlign w:val="center"/>
          </w:tcPr>
          <w:p w14:paraId="1FDC2573">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kern w:val="0"/>
                <w:sz w:val="24"/>
                <w:lang w:val="zh-CN"/>
              </w:rPr>
              <w:t>专业监理工程师</w:t>
            </w:r>
          </w:p>
        </w:tc>
        <w:tc>
          <w:tcPr>
            <w:tcW w:w="1701" w:type="dxa"/>
            <w:vAlign w:val="center"/>
          </w:tcPr>
          <w:p w14:paraId="5B956AD1">
            <w:pPr>
              <w:spacing w:line="360" w:lineRule="auto"/>
              <w:jc w:val="center"/>
              <w:rPr>
                <w:rFonts w:hint="eastAsia" w:asciiTheme="minorEastAsia" w:hAnsiTheme="minorEastAsia"/>
                <w:b/>
                <w:color w:val="auto"/>
                <w:spacing w:val="20"/>
                <w:sz w:val="24"/>
              </w:rPr>
            </w:pPr>
            <w:r>
              <w:rPr>
                <w:rFonts w:hint="eastAsia" w:asciiTheme="minorEastAsia" w:hAnsiTheme="minorEastAsia"/>
                <w:color w:val="auto"/>
                <w:spacing w:val="20"/>
                <w:sz w:val="24"/>
              </w:rPr>
              <w:t>1</w:t>
            </w:r>
            <w:r>
              <w:rPr>
                <w:rFonts w:asciiTheme="minorEastAsia" w:hAnsiTheme="minorEastAsia"/>
                <w:color w:val="auto"/>
                <w:spacing w:val="20"/>
                <w:sz w:val="24"/>
              </w:rPr>
              <w:t>人</w:t>
            </w:r>
          </w:p>
        </w:tc>
        <w:tc>
          <w:tcPr>
            <w:tcW w:w="1985" w:type="dxa"/>
            <w:vMerge w:val="continue"/>
          </w:tcPr>
          <w:p w14:paraId="0E2FBD0E">
            <w:pPr>
              <w:spacing w:line="360" w:lineRule="auto"/>
              <w:jc w:val="center"/>
              <w:rPr>
                <w:rFonts w:hint="eastAsia" w:asciiTheme="minorEastAsia" w:hAnsiTheme="minorEastAsia"/>
                <w:color w:val="auto"/>
                <w:spacing w:val="20"/>
                <w:sz w:val="24"/>
              </w:rPr>
            </w:pPr>
          </w:p>
        </w:tc>
      </w:tr>
      <w:tr w14:paraId="13D1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86" w:type="dxa"/>
            <w:gridSpan w:val="2"/>
            <w:vAlign w:val="center"/>
          </w:tcPr>
          <w:p w14:paraId="05E61177">
            <w:pPr>
              <w:spacing w:line="360" w:lineRule="auto"/>
              <w:jc w:val="center"/>
              <w:rPr>
                <w:rFonts w:hint="eastAsia" w:asciiTheme="minorEastAsia" w:hAnsiTheme="minorEastAsia"/>
                <w:b/>
                <w:color w:val="auto"/>
                <w:spacing w:val="20"/>
                <w:sz w:val="24"/>
              </w:rPr>
            </w:pPr>
            <w:r>
              <w:rPr>
                <w:rFonts w:hint="eastAsia" w:asciiTheme="minorEastAsia" w:hAnsiTheme="minorEastAsia"/>
                <w:b/>
                <w:color w:val="auto"/>
                <w:spacing w:val="20"/>
                <w:sz w:val="24"/>
              </w:rPr>
              <w:t>合计</w:t>
            </w:r>
          </w:p>
        </w:tc>
        <w:tc>
          <w:tcPr>
            <w:tcW w:w="1701" w:type="dxa"/>
            <w:vAlign w:val="center"/>
          </w:tcPr>
          <w:p w14:paraId="6638A9CA">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2人</w:t>
            </w:r>
          </w:p>
        </w:tc>
        <w:tc>
          <w:tcPr>
            <w:tcW w:w="1985" w:type="dxa"/>
            <w:vMerge w:val="continue"/>
          </w:tcPr>
          <w:p w14:paraId="26D6A6FE">
            <w:pPr>
              <w:spacing w:line="360" w:lineRule="auto"/>
              <w:jc w:val="center"/>
              <w:rPr>
                <w:rFonts w:hint="eastAsia" w:asciiTheme="minorEastAsia" w:hAnsiTheme="minorEastAsia"/>
                <w:color w:val="auto"/>
                <w:spacing w:val="20"/>
                <w:sz w:val="24"/>
              </w:rPr>
            </w:pPr>
          </w:p>
        </w:tc>
      </w:tr>
      <w:tr w14:paraId="6C25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72" w:type="dxa"/>
            <w:gridSpan w:val="4"/>
            <w:vAlign w:val="center"/>
          </w:tcPr>
          <w:p w14:paraId="57075FE5">
            <w:pPr>
              <w:widowControl/>
              <w:spacing w:line="300" w:lineRule="auto"/>
              <w:jc w:val="left"/>
              <w:rPr>
                <w:rFonts w:hint="eastAsia" w:asciiTheme="minorEastAsia" w:hAnsiTheme="minorEastAsia"/>
                <w:color w:val="auto"/>
                <w:kern w:val="0"/>
                <w:szCs w:val="21"/>
              </w:rPr>
            </w:pPr>
            <w:r>
              <w:rPr>
                <w:rFonts w:hint="eastAsia" w:asciiTheme="minorEastAsia" w:hAnsiTheme="minorEastAsia"/>
                <w:color w:val="auto"/>
                <w:kern w:val="0"/>
                <w:szCs w:val="21"/>
              </w:rPr>
              <w:t>人员配备要求：</w:t>
            </w:r>
          </w:p>
          <w:p w14:paraId="50F6B6CC">
            <w:pPr>
              <w:widowControl/>
              <w:spacing w:line="300" w:lineRule="auto"/>
              <w:jc w:val="left"/>
              <w:rPr>
                <w:rFonts w:hint="eastAsia" w:asciiTheme="minorEastAsia" w:hAnsiTheme="minorEastAsia"/>
                <w:color w:val="auto"/>
                <w:kern w:val="0"/>
                <w:szCs w:val="21"/>
              </w:rPr>
            </w:pPr>
            <w:r>
              <w:rPr>
                <w:rFonts w:asciiTheme="minorEastAsia" w:hAnsiTheme="minorEastAsia"/>
                <w:color w:val="auto"/>
                <w:kern w:val="0"/>
                <w:szCs w:val="21"/>
              </w:rPr>
              <w:t>1</w:t>
            </w:r>
            <w:r>
              <w:rPr>
                <w:rFonts w:hint="eastAsia" w:asciiTheme="minorEastAsia" w:hAnsiTheme="minorEastAsia"/>
                <w:color w:val="auto"/>
                <w:kern w:val="0"/>
                <w:szCs w:val="21"/>
              </w:rPr>
              <w:t>、投标人可根据采购需求和项目实际情况合理设置人员架构，且不得低于上表所列监理人员配额。</w:t>
            </w:r>
          </w:p>
          <w:p w14:paraId="23CF8B73">
            <w:pPr>
              <w:widowControl/>
              <w:spacing w:line="300" w:lineRule="auto"/>
              <w:jc w:val="left"/>
              <w:rPr>
                <w:rFonts w:hint="eastAsia" w:asciiTheme="minorEastAsia" w:hAnsiTheme="minorEastAsia"/>
                <w:color w:val="auto"/>
                <w:kern w:val="0"/>
                <w:szCs w:val="21"/>
              </w:rPr>
            </w:pPr>
            <w:r>
              <w:rPr>
                <w:rFonts w:asciiTheme="minorEastAsia" w:hAnsiTheme="minorEastAsia"/>
                <w:color w:val="auto"/>
                <w:kern w:val="0"/>
                <w:szCs w:val="21"/>
              </w:rPr>
              <w:t>2</w:t>
            </w:r>
            <w:r>
              <w:rPr>
                <w:rFonts w:hint="eastAsia" w:asciiTheme="minorEastAsia" w:hAnsiTheme="minorEastAsia"/>
                <w:color w:val="auto"/>
                <w:kern w:val="0"/>
                <w:szCs w:val="21"/>
              </w:rPr>
              <w:t>、投标文件中须提供总监理工程师、专业监理工程师的信息系统监理师证书扫描件。</w:t>
            </w:r>
          </w:p>
        </w:tc>
      </w:tr>
    </w:tbl>
    <w:p w14:paraId="756D897A">
      <w:pPr>
        <w:pStyle w:val="17"/>
        <w:spacing w:before="156" w:after="156"/>
        <w:ind w:firstLine="480"/>
        <w:rPr>
          <w:rFonts w:hint="eastAsia"/>
          <w:color w:val="auto"/>
        </w:rPr>
      </w:pPr>
    </w:p>
    <w:p w14:paraId="0640097B">
      <w:pPr>
        <w:widowControl/>
        <w:jc w:val="left"/>
        <w:rPr>
          <w:rFonts w:hint="eastAsia" w:ascii="宋体" w:hAnsi="宋体" w:eastAsia="宋体" w:cs="Times New Roman"/>
          <w:color w:val="auto"/>
          <w:sz w:val="24"/>
          <w:szCs w:val="28"/>
        </w:rPr>
      </w:pPr>
      <w:r>
        <w:rPr>
          <w:color w:val="auto"/>
        </w:rPr>
        <w:br w:type="page"/>
      </w:r>
    </w:p>
    <w:p w14:paraId="61B86669">
      <w:pPr>
        <w:pStyle w:val="2"/>
        <w:rPr>
          <w:rFonts w:hint="eastAsia" w:asciiTheme="minorEastAsia" w:hAnsiTheme="minorEastAsia"/>
          <w:color w:val="auto"/>
        </w:rPr>
      </w:pPr>
      <w:r>
        <w:rPr>
          <w:rFonts w:hint="eastAsia" w:asciiTheme="minorEastAsia" w:hAnsiTheme="minorEastAsia"/>
          <w:color w:val="auto"/>
        </w:rPr>
        <w:t>七、评审标准</w:t>
      </w:r>
    </w:p>
    <w:p w14:paraId="7A3DA2DB">
      <w:pPr>
        <w:tabs>
          <w:tab w:val="left" w:pos="720"/>
          <w:tab w:val="left" w:pos="6330"/>
        </w:tabs>
        <w:spacing w:line="360" w:lineRule="auto"/>
        <w:ind w:firstLine="482" w:firstLineChars="200"/>
        <w:rPr>
          <w:rFonts w:hint="eastAsia" w:cs="宋体" w:asciiTheme="minorEastAsia" w:hAnsiTheme="minorEastAsia"/>
          <w:b/>
          <w:color w:val="auto"/>
          <w:sz w:val="24"/>
          <w:szCs w:val="24"/>
        </w:rPr>
      </w:pPr>
      <w:r>
        <w:rPr>
          <w:rFonts w:hint="eastAsia" w:cs="宋体" w:asciiTheme="minorEastAsia" w:hAnsiTheme="minorEastAsia"/>
          <w:b/>
          <w:color w:val="auto"/>
          <w:sz w:val="24"/>
          <w:szCs w:val="24"/>
        </w:rPr>
        <w:t>评审</w:t>
      </w:r>
      <w:r>
        <w:rPr>
          <w:rFonts w:cs="宋体" w:asciiTheme="minorEastAsia" w:hAnsiTheme="minorEastAsia"/>
          <w:b/>
          <w:color w:val="auto"/>
          <w:sz w:val="24"/>
          <w:szCs w:val="24"/>
        </w:rPr>
        <w:t>内容和分值如下</w:t>
      </w:r>
      <w:r>
        <w:rPr>
          <w:rFonts w:hint="eastAsia" w:cs="宋体" w:asciiTheme="minorEastAsia" w:hAnsiTheme="minorEastAsia"/>
          <w:b/>
          <w:color w:val="auto"/>
          <w:sz w:val="24"/>
          <w:szCs w:val="24"/>
          <w:lang w:eastAsia="zh-CN"/>
        </w:rPr>
        <w:t>：</w:t>
      </w:r>
      <w:r>
        <w:rPr>
          <w:rFonts w:cs="宋体" w:asciiTheme="minorEastAsia" w:hAnsiTheme="minorEastAsia"/>
          <w:b/>
          <w:color w:val="auto"/>
          <w:sz w:val="24"/>
          <w:szCs w:val="24"/>
        </w:rPr>
        <w:tab/>
      </w:r>
    </w:p>
    <w:tbl>
      <w:tblPr>
        <w:tblStyle w:val="10"/>
        <w:tblW w:w="1091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8221"/>
        <w:gridCol w:w="851"/>
      </w:tblGrid>
      <w:tr w14:paraId="037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299DAE2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212F2573">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评分项目</w:t>
            </w:r>
          </w:p>
        </w:tc>
        <w:tc>
          <w:tcPr>
            <w:tcW w:w="8221" w:type="dxa"/>
            <w:tcBorders>
              <w:top w:val="single" w:color="auto" w:sz="4" w:space="0"/>
              <w:left w:val="single" w:color="auto" w:sz="4" w:space="0"/>
              <w:bottom w:val="single" w:color="auto" w:sz="4" w:space="0"/>
              <w:right w:val="single" w:color="auto" w:sz="4" w:space="0"/>
            </w:tcBorders>
            <w:vAlign w:val="center"/>
          </w:tcPr>
          <w:p w14:paraId="28BC7C5A">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评审参考说明</w:t>
            </w:r>
          </w:p>
        </w:tc>
        <w:tc>
          <w:tcPr>
            <w:tcW w:w="851" w:type="dxa"/>
            <w:tcBorders>
              <w:top w:val="single" w:color="auto" w:sz="4" w:space="0"/>
              <w:left w:val="single" w:color="auto" w:sz="4" w:space="0"/>
              <w:bottom w:val="single" w:color="auto" w:sz="4" w:space="0"/>
              <w:right w:val="single" w:color="auto" w:sz="4" w:space="0"/>
            </w:tcBorders>
            <w:vAlign w:val="center"/>
          </w:tcPr>
          <w:p w14:paraId="61FB5EC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满分值</w:t>
            </w:r>
          </w:p>
        </w:tc>
      </w:tr>
      <w:tr w14:paraId="231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036A60E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spacing w:val="10"/>
                <w:sz w:val="24"/>
                <w:szCs w:val="24"/>
              </w:rPr>
              <w:t>一、资信、技术评分标准（</w:t>
            </w:r>
            <w:r>
              <w:rPr>
                <w:rFonts w:cs="宋体" w:asciiTheme="minorEastAsia" w:hAnsiTheme="minorEastAsia"/>
                <w:b/>
                <w:bCs/>
                <w:color w:val="auto"/>
                <w:spacing w:val="10"/>
                <w:sz w:val="24"/>
                <w:szCs w:val="24"/>
              </w:rPr>
              <w:t>9</w:t>
            </w:r>
            <w:r>
              <w:rPr>
                <w:rFonts w:hint="eastAsia" w:cs="宋体" w:asciiTheme="minorEastAsia" w:hAnsiTheme="minorEastAsia"/>
                <w:b/>
                <w:bCs/>
                <w:color w:val="auto"/>
                <w:spacing w:val="10"/>
                <w:sz w:val="24"/>
                <w:szCs w:val="24"/>
              </w:rPr>
              <w:t>0分）</w:t>
            </w:r>
          </w:p>
        </w:tc>
      </w:tr>
      <w:tr w14:paraId="68A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restart"/>
            <w:tcBorders>
              <w:top w:val="single" w:color="auto" w:sz="4" w:space="0"/>
              <w:left w:val="single" w:color="auto" w:sz="4" w:space="0"/>
              <w:right w:val="single" w:color="auto" w:sz="4" w:space="0"/>
            </w:tcBorders>
            <w:vAlign w:val="center"/>
          </w:tcPr>
          <w:p w14:paraId="656ACF18">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97B884">
            <w:pPr>
              <w:spacing w:line="500" w:lineRule="exact"/>
              <w:rPr>
                <w:rFonts w:hint="eastAsia" w:asciiTheme="minorEastAsia" w:hAnsiTheme="minorEastAsia"/>
                <w:b/>
                <w:bCs/>
                <w:color w:val="auto"/>
                <w:szCs w:val="21"/>
              </w:rPr>
            </w:pPr>
            <w:r>
              <w:rPr>
                <w:rFonts w:hint="eastAsia" w:cs="宋体" w:asciiTheme="minorEastAsia" w:hAnsiTheme="minorEastAsia"/>
                <w:color w:val="auto"/>
                <w:kern w:val="0"/>
                <w:szCs w:val="21"/>
              </w:rPr>
              <w:t>监理大纲</w:t>
            </w:r>
          </w:p>
        </w:tc>
        <w:tc>
          <w:tcPr>
            <w:tcW w:w="8221" w:type="dxa"/>
            <w:tcBorders>
              <w:top w:val="single" w:color="auto" w:sz="4" w:space="0"/>
              <w:left w:val="single" w:color="auto" w:sz="4" w:space="0"/>
              <w:bottom w:val="single" w:color="auto" w:sz="4" w:space="0"/>
              <w:right w:val="single" w:color="auto" w:sz="4" w:space="0"/>
            </w:tcBorders>
            <w:vAlign w:val="center"/>
          </w:tcPr>
          <w:p w14:paraId="508E6FE7">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1、根据监理大纲中包含的质量控制措施符合采购需求的程度，项目目标、范围、任务和依据明确，具体的情况包括监理工作措施及工具等内容情况，由评委会进行综合评审： </w:t>
            </w:r>
          </w:p>
          <w:p w14:paraId="0367C37E">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1</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质量控制措施详细、工具齐全，方案内容完备科学且利于项目实施的得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 xml:space="preserve">分； </w:t>
            </w:r>
          </w:p>
          <w:p w14:paraId="3EC372B2">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2</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质量控制措施及工具满足项目需求，方案内容合理且不影响项目实施的</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6B13D9CC">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3</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 xml:space="preserve">质量控制措施有偏差、工具和方案有待提升和完善的得 2分； </w:t>
            </w:r>
          </w:p>
          <w:p w14:paraId="73975DB8">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p>
          <w:p w14:paraId="10F34A5E">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2、根据监理大纲中包含的进度控制、投资控制措施符合采购需求的程度，项目目标、范围、任务和依据明确，具体的情况包括监理工作措施及工具等内容情况，由评委会进行综合评审： </w:t>
            </w:r>
          </w:p>
          <w:p w14:paraId="6078A8A0">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1</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进度控制、投资控制措施详细、项目目标、范围、任务和依据明确，工具齐全，方案内容完备科学且利于项目实施的得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分；</w:t>
            </w:r>
          </w:p>
          <w:p w14:paraId="0FE9EFF9">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2</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进度控制、投资控制措施及工具满足项目需求，方案内容合理且不影响项目实施的得</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1CA7E1E0">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3</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 xml:space="preserve">进度控制、投资控制措施有偏差、工具和方案有待提升和完善的得2分； </w:t>
            </w:r>
          </w:p>
          <w:p w14:paraId="6F910D9D">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r>
              <w:rPr>
                <w:rFonts w:hint="eastAsia" w:cs="宋体" w:asciiTheme="minorEastAsia" w:hAnsiTheme="minorEastAsia" w:eastAsiaTheme="minorEastAsia"/>
                <w:color w:val="auto"/>
                <w:szCs w:val="22"/>
              </w:rPr>
              <w:t>。</w:t>
            </w:r>
          </w:p>
          <w:p w14:paraId="2AC42591">
            <w:pPr>
              <w:pStyle w:val="22"/>
              <w:ind w:firstLine="0" w:firstLineChars="0"/>
              <w:rPr>
                <w:rFonts w:hint="eastAsia" w:asciiTheme="minorEastAsia" w:hAnsiTheme="minorEastAsia" w:eastAsiaTheme="minorEastAsia"/>
                <w:color w:val="auto"/>
                <w:szCs w:val="21"/>
              </w:rPr>
            </w:pPr>
            <w:r>
              <w:rPr>
                <w:rFonts w:cs="宋体" w:asciiTheme="minorEastAsia" w:hAnsiTheme="minorEastAsia" w:eastAsiaTheme="minorEastAsia"/>
                <w:color w:val="auto"/>
                <w:szCs w:val="22"/>
              </w:rPr>
              <w:t>3、根据监理大纲中包含的变更控制、合同管理、信息管理、安全管理和工作协调等措施符合采购需求的程度，项目目标、范围、任务和依据明确，具体的情况包括监理工作措施及工具等内容情况，由评委会进行综合评审：</w:t>
            </w:r>
            <w:r>
              <w:rPr>
                <w:rFonts w:asciiTheme="minorEastAsia" w:hAnsiTheme="minorEastAsia" w:eastAsiaTheme="minorEastAsia"/>
                <w:color w:val="auto"/>
                <w:szCs w:val="21"/>
              </w:rPr>
              <w:t xml:space="preserve"> </w:t>
            </w:r>
          </w:p>
          <w:p w14:paraId="41E1E3F2">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1</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变更控制、合同管理、信息管理、安全管理和工作协调等措施详细、工具齐全，方案内容完备科学且利于项目实施的得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 xml:space="preserve">分； </w:t>
            </w:r>
          </w:p>
          <w:p w14:paraId="11F2A491">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2</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变更控制、合同管理、信息管理、安全管理和工作协调等措施及工具满足本项目需求，方案内容合理且不影响项目实施的得</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24A00680">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3</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 xml:space="preserve">变更控制、合同管理、信息管理、安全管理和工作协调等措施有偏差、工具和方案有待提升和完善的得2分； </w:t>
            </w:r>
          </w:p>
          <w:p w14:paraId="2A261C57">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r>
              <w:rPr>
                <w:rFonts w:hint="eastAsia" w:cs="宋体" w:asciiTheme="minorEastAsia" w:hAnsiTheme="minorEastAsia" w:eastAsiaTheme="minorEastAsia"/>
                <w:color w:val="auto"/>
                <w:szCs w:val="22"/>
              </w:rPr>
              <w:t>。</w:t>
            </w:r>
          </w:p>
          <w:p w14:paraId="131A0628">
            <w:pPr>
              <w:pStyle w:val="22"/>
              <w:ind w:firstLine="0" w:firstLineChars="0"/>
              <w:rPr>
                <w:rFonts w:hint="eastAsia" w:cs="宋体" w:asciiTheme="minorEastAsia" w:hAnsiTheme="minorEastAsia" w:eastAsiaTheme="minorEastAsia"/>
                <w:color w:val="auto"/>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86AEA1F">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30分</w:t>
            </w:r>
          </w:p>
        </w:tc>
      </w:tr>
      <w:tr w14:paraId="5DC8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continue"/>
            <w:tcBorders>
              <w:left w:val="single" w:color="auto" w:sz="4" w:space="0"/>
              <w:bottom w:val="single" w:color="auto" w:sz="4" w:space="0"/>
              <w:right w:val="single" w:color="auto" w:sz="4" w:space="0"/>
            </w:tcBorders>
            <w:vAlign w:val="center"/>
          </w:tcPr>
          <w:p w14:paraId="0BBFBFB0">
            <w:pPr>
              <w:spacing w:line="500" w:lineRule="exact"/>
              <w:jc w:val="center"/>
              <w:rPr>
                <w:rFonts w:hint="eastAsia" w:cs="宋体"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56297703">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项目管理服务方案</w:t>
            </w:r>
          </w:p>
        </w:tc>
        <w:tc>
          <w:tcPr>
            <w:tcW w:w="8221" w:type="dxa"/>
            <w:tcBorders>
              <w:top w:val="single" w:color="auto" w:sz="4" w:space="0"/>
              <w:left w:val="single" w:color="auto" w:sz="4" w:space="0"/>
              <w:bottom w:val="single" w:color="auto" w:sz="4" w:space="0"/>
              <w:right w:val="single" w:color="auto" w:sz="4" w:space="0"/>
            </w:tcBorders>
            <w:vAlign w:val="center"/>
          </w:tcPr>
          <w:p w14:paraId="0FC79126">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针对本项目的可控管理提供全电子化管理服务方案，包括但不限于在多端应用、全程管理、全电子、全程可视、全域管理，从建设到交付的全局专项服务解决方案：</w:t>
            </w:r>
          </w:p>
          <w:p w14:paraId="76181739">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1</w:t>
            </w:r>
            <w:r>
              <w:rPr>
                <w:rFonts w:hint="eastAsia" w:cs="宋体" w:asciiTheme="minorEastAsia" w:hAnsiTheme="minorEastAsia" w:eastAsiaTheme="minorEastAsia"/>
                <w:color w:val="auto"/>
                <w:szCs w:val="22"/>
                <w:lang w:eastAsia="zh-CN"/>
              </w:rPr>
              <w:t>）</w:t>
            </w:r>
            <w:r>
              <w:rPr>
                <w:rFonts w:hint="eastAsia" w:cs="宋体" w:asciiTheme="minorEastAsia" w:hAnsiTheme="minorEastAsia" w:eastAsiaTheme="minorEastAsia"/>
                <w:color w:val="auto"/>
                <w:szCs w:val="22"/>
              </w:rPr>
              <w:t>内容齐全完整、科学合理、针对性强、可实施性强的得10分；</w:t>
            </w:r>
          </w:p>
          <w:p w14:paraId="153FDD4C">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2</w:t>
            </w:r>
            <w:r>
              <w:rPr>
                <w:rFonts w:hint="eastAsia" w:cs="宋体" w:asciiTheme="minorEastAsia" w:hAnsiTheme="minorEastAsia" w:eastAsiaTheme="minorEastAsia"/>
                <w:color w:val="auto"/>
                <w:szCs w:val="22"/>
                <w:lang w:eastAsia="zh-CN"/>
              </w:rPr>
              <w:t>）</w:t>
            </w:r>
            <w:r>
              <w:rPr>
                <w:rFonts w:hint="eastAsia" w:cs="宋体" w:asciiTheme="minorEastAsia" w:hAnsiTheme="minorEastAsia" w:eastAsiaTheme="minorEastAsia"/>
                <w:color w:val="auto"/>
                <w:szCs w:val="22"/>
              </w:rPr>
              <w:t>内容基本齐全、基本合理、有针对性、有实施性的得6分；</w:t>
            </w:r>
          </w:p>
          <w:p w14:paraId="4E195C30">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3</w:t>
            </w:r>
            <w:r>
              <w:rPr>
                <w:rFonts w:hint="eastAsia" w:cs="宋体" w:asciiTheme="minorEastAsia" w:hAnsiTheme="minorEastAsia" w:eastAsiaTheme="minorEastAsia"/>
                <w:color w:val="auto"/>
                <w:szCs w:val="22"/>
                <w:lang w:eastAsia="zh-CN"/>
              </w:rPr>
              <w:t>）</w:t>
            </w:r>
            <w:r>
              <w:rPr>
                <w:rFonts w:hint="eastAsia" w:cs="宋体" w:asciiTheme="minorEastAsia" w:hAnsiTheme="minorEastAsia" w:eastAsiaTheme="minorEastAsia"/>
                <w:color w:val="auto"/>
                <w:szCs w:val="22"/>
              </w:rPr>
              <w:t>内容、合理性、针对性、实施性有待完善的得2分；</w:t>
            </w:r>
          </w:p>
          <w:p w14:paraId="3DF28464">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lang w:eastAsia="zh-CN"/>
              </w:rPr>
              <w:t>）</w:t>
            </w:r>
            <w:r>
              <w:rPr>
                <w:rFonts w:cs="宋体" w:asciiTheme="minorEastAsia" w:hAnsiTheme="minorEastAsia" w:eastAsiaTheme="minorEastAsia"/>
                <w:color w:val="auto"/>
                <w:szCs w:val="22"/>
              </w:rPr>
              <w:t>未提供的不得分</w:t>
            </w:r>
            <w:r>
              <w:rPr>
                <w:rFonts w:hint="eastAsia" w:cs="宋体" w:asciiTheme="minorEastAsia" w:hAnsiTheme="minorEastAsia" w:eastAsiaTheme="minorEastAsia"/>
                <w:color w:val="auto"/>
                <w:szCs w:val="22"/>
              </w:rPr>
              <w:t>。</w:t>
            </w:r>
          </w:p>
          <w:p w14:paraId="1BCDB9D6">
            <w:pPr>
              <w:pStyle w:val="22"/>
              <w:ind w:firstLine="0" w:firstLineChars="0"/>
              <w:rPr>
                <w:rFonts w:hint="eastAsia" w:cs="宋体" w:asciiTheme="minorEastAsia" w:hAnsiTheme="minorEastAsia" w:eastAsiaTheme="minorEastAsia"/>
                <w:b/>
                <w:bCs/>
                <w:color w:val="auto"/>
                <w:szCs w:val="22"/>
              </w:rPr>
            </w:pPr>
            <w:r>
              <w:rPr>
                <w:rFonts w:hint="eastAsia" w:cs="宋体" w:asciiTheme="minorEastAsia" w:hAnsiTheme="minorEastAsia" w:eastAsiaTheme="minorEastAsia"/>
                <w:b/>
                <w:bCs/>
                <w:color w:val="auto"/>
                <w:szCs w:val="22"/>
              </w:rPr>
              <w:t>注：提供全电子化管理服务平台的</w:t>
            </w:r>
            <w:r>
              <w:rPr>
                <w:rFonts w:hint="eastAsia" w:cs="宋体" w:asciiTheme="minorEastAsia" w:hAnsiTheme="minorEastAsia" w:eastAsiaTheme="minorEastAsia"/>
                <w:b/>
                <w:bCs/>
                <w:color w:val="auto"/>
                <w:szCs w:val="22"/>
                <w:lang w:eastAsia="zh-CN"/>
              </w:rPr>
              <w:t>登录</w:t>
            </w:r>
            <w:r>
              <w:rPr>
                <w:rFonts w:hint="eastAsia" w:cs="宋体" w:asciiTheme="minorEastAsia" w:hAnsiTheme="minorEastAsia" w:eastAsiaTheme="minorEastAsia"/>
                <w:b/>
                <w:bCs/>
                <w:color w:val="auto"/>
                <w:szCs w:val="22"/>
              </w:rPr>
              <w:t xml:space="preserve">网址及以上功能一一对应的截图与文字说明。 </w:t>
            </w:r>
          </w:p>
        </w:tc>
        <w:tc>
          <w:tcPr>
            <w:tcW w:w="851" w:type="dxa"/>
            <w:tcBorders>
              <w:top w:val="single" w:color="auto" w:sz="4" w:space="0"/>
              <w:left w:val="single" w:color="auto" w:sz="4" w:space="0"/>
              <w:bottom w:val="single" w:color="auto" w:sz="4" w:space="0"/>
              <w:right w:val="single" w:color="auto" w:sz="4" w:space="0"/>
            </w:tcBorders>
            <w:vAlign w:val="center"/>
          </w:tcPr>
          <w:p w14:paraId="3E5F017D">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10分</w:t>
            </w:r>
          </w:p>
        </w:tc>
      </w:tr>
      <w:tr w14:paraId="3294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09" w:type="dxa"/>
            <w:vMerge w:val="restart"/>
            <w:tcBorders>
              <w:top w:val="single" w:color="auto" w:sz="4" w:space="0"/>
              <w:left w:val="single" w:color="auto" w:sz="4" w:space="0"/>
              <w:right w:val="single" w:color="auto" w:sz="4" w:space="0"/>
            </w:tcBorders>
            <w:vAlign w:val="center"/>
          </w:tcPr>
          <w:p w14:paraId="7D987A3C">
            <w:pPr>
              <w:spacing w:line="500" w:lineRule="exact"/>
              <w:jc w:val="center"/>
              <w:rPr>
                <w:rFonts w:hint="eastAsia" w:cs="宋体" w:asciiTheme="minorEastAsia" w:hAnsiTheme="minorEastAsia"/>
                <w:b/>
                <w:bCs/>
                <w:color w:val="auto"/>
              </w:rPr>
            </w:pPr>
            <w:r>
              <w:rPr>
                <w:rFonts w:hint="eastAsia" w:cs="宋体" w:asciiTheme="minorEastAsia" w:hAnsiTheme="minorEastAsia"/>
                <w:b/>
                <w:bCs/>
                <w:color w:val="auto"/>
              </w:rPr>
              <w:t>2</w:t>
            </w:r>
          </w:p>
        </w:tc>
        <w:tc>
          <w:tcPr>
            <w:tcW w:w="1135" w:type="dxa"/>
            <w:tcBorders>
              <w:top w:val="single" w:color="auto" w:sz="4" w:space="0"/>
              <w:left w:val="single" w:color="auto" w:sz="4" w:space="0"/>
              <w:right w:val="single" w:color="auto" w:sz="4" w:space="0"/>
            </w:tcBorders>
            <w:vAlign w:val="center"/>
          </w:tcPr>
          <w:p w14:paraId="5D96425C">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总监理</w:t>
            </w:r>
          </w:p>
          <w:p w14:paraId="687CB948">
            <w:pPr>
              <w:jc w:val="center"/>
              <w:rPr>
                <w:rFonts w:hint="eastAsia" w:cs="宋体" w:asciiTheme="minorEastAsia" w:hAnsiTheme="minorEastAsia"/>
                <w:color w:val="auto"/>
              </w:rPr>
            </w:pPr>
            <w:r>
              <w:rPr>
                <w:rFonts w:hint="eastAsia" w:cs="宋体" w:asciiTheme="minorEastAsia" w:hAnsiTheme="minorEastAsia"/>
                <w:color w:val="auto"/>
                <w:kern w:val="0"/>
                <w:szCs w:val="21"/>
              </w:rPr>
              <w:t>工程师</w:t>
            </w:r>
          </w:p>
        </w:tc>
        <w:tc>
          <w:tcPr>
            <w:tcW w:w="8221" w:type="dxa"/>
            <w:tcBorders>
              <w:top w:val="single" w:color="auto" w:sz="4" w:space="0"/>
              <w:left w:val="single" w:color="auto" w:sz="4" w:space="0"/>
              <w:right w:val="single" w:color="auto" w:sz="4" w:space="0"/>
            </w:tcBorders>
            <w:vAlign w:val="center"/>
          </w:tcPr>
          <w:p w14:paraId="13DCF4A6">
            <w:pPr>
              <w:rPr>
                <w:rFonts w:hint="eastAsia" w:cs="宋体" w:asciiTheme="minorEastAsia" w:hAnsiTheme="minorEastAsia"/>
                <w:b/>
                <w:bCs/>
                <w:color w:val="auto"/>
              </w:rPr>
            </w:pPr>
            <w:r>
              <w:rPr>
                <w:b/>
                <w:bCs/>
                <w:color w:val="auto"/>
              </w:rPr>
              <w:t>拟派总监理工程师（1人）除具有信息系统监理师资格证书外， 每具有一项以下证书得2分，满分</w:t>
            </w:r>
            <w:r>
              <w:rPr>
                <w:rFonts w:hint="eastAsia"/>
                <w:b/>
                <w:bCs/>
                <w:color w:val="auto"/>
              </w:rPr>
              <w:t>6</w:t>
            </w:r>
            <w:r>
              <w:rPr>
                <w:b/>
                <w:bCs/>
                <w:color w:val="auto"/>
              </w:rPr>
              <w:t>分</w:t>
            </w:r>
            <w:r>
              <w:rPr>
                <w:rFonts w:hint="eastAsia" w:cs="宋体" w:asciiTheme="minorEastAsia" w:hAnsiTheme="minorEastAsia"/>
                <w:b/>
                <w:bCs/>
                <w:color w:val="auto"/>
              </w:rPr>
              <w:t>：</w:t>
            </w:r>
          </w:p>
          <w:p w14:paraId="1EA23097">
            <w:pPr>
              <w:rPr>
                <w:rFonts w:hint="eastAsia" w:cs="宋体" w:asciiTheme="minorEastAsia" w:hAnsiTheme="minorEastAsia"/>
                <w:color w:val="auto"/>
              </w:rPr>
            </w:pPr>
            <w:r>
              <w:rPr>
                <w:rFonts w:hint="eastAsia" w:cs="宋体" w:asciiTheme="minorEastAsia" w:hAnsiTheme="minorEastAsia"/>
                <w:color w:val="auto"/>
                <w:lang w:eastAsia="zh-CN"/>
              </w:rPr>
              <w:t>（</w:t>
            </w:r>
            <w:r>
              <w:rPr>
                <w:rFonts w:cs="宋体" w:asciiTheme="minorEastAsia" w:hAnsiTheme="minorEastAsia"/>
                <w:color w:val="auto"/>
              </w:rPr>
              <w:t>1</w:t>
            </w:r>
            <w:r>
              <w:rPr>
                <w:rFonts w:hint="eastAsia" w:cs="宋体" w:asciiTheme="minorEastAsia" w:hAnsiTheme="minorEastAsia"/>
                <w:color w:val="auto"/>
                <w:lang w:eastAsia="zh-CN"/>
              </w:rPr>
              <w:t>）</w:t>
            </w:r>
            <w:r>
              <w:rPr>
                <w:rFonts w:hint="eastAsia" w:cs="宋体" w:asciiTheme="minorEastAsia" w:hAnsiTheme="minorEastAsia"/>
                <w:color w:val="auto"/>
              </w:rPr>
              <w:t>电子信息工程专业高级工程师或以上职称（人社部门颁发）；</w:t>
            </w:r>
            <w:r>
              <w:rPr>
                <w:rFonts w:cs="宋体" w:asciiTheme="minorEastAsia" w:hAnsiTheme="minorEastAsia"/>
                <w:color w:val="auto"/>
              </w:rPr>
              <w:t xml:space="preserve"> </w:t>
            </w:r>
          </w:p>
          <w:p w14:paraId="48267F0A">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2</w:t>
            </w:r>
            <w:r>
              <w:rPr>
                <w:rFonts w:hint="eastAsia" w:cs="宋体" w:asciiTheme="minorEastAsia" w:hAnsiTheme="minorEastAsia"/>
                <w:color w:val="auto"/>
                <w:lang w:eastAsia="zh-CN"/>
              </w:rPr>
              <w:t>）</w:t>
            </w:r>
            <w:r>
              <w:rPr>
                <w:rFonts w:cs="宋体" w:asciiTheme="minorEastAsia" w:hAnsiTheme="minorEastAsia"/>
                <w:color w:val="auto"/>
              </w:rPr>
              <w:t>注册信息安全工程师（中国信息安全测评中心颁发）</w:t>
            </w:r>
            <w:r>
              <w:rPr>
                <w:rFonts w:hint="eastAsia" w:cs="宋体" w:asciiTheme="minorEastAsia" w:hAnsiTheme="minorEastAsia"/>
                <w:color w:val="auto"/>
              </w:rPr>
              <w:t>；</w:t>
            </w:r>
          </w:p>
          <w:p w14:paraId="07E48D8F">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3</w:t>
            </w:r>
            <w:r>
              <w:rPr>
                <w:rFonts w:hint="eastAsia" w:cs="宋体" w:asciiTheme="minorEastAsia" w:hAnsiTheme="minorEastAsia"/>
                <w:color w:val="auto"/>
                <w:lang w:eastAsia="zh-CN"/>
              </w:rPr>
              <w:t>）</w:t>
            </w:r>
            <w:r>
              <w:rPr>
                <w:rFonts w:hint="eastAsia" w:cs="宋体" w:asciiTheme="minorEastAsia" w:hAnsiTheme="minorEastAsia"/>
                <w:color w:val="auto"/>
              </w:rPr>
              <w:t>网络</w:t>
            </w:r>
            <w:r>
              <w:rPr>
                <w:rFonts w:cs="宋体" w:asciiTheme="minorEastAsia" w:hAnsiTheme="minorEastAsia"/>
                <w:color w:val="auto"/>
              </w:rPr>
              <w:t>工程师（计算机技术与软件专业技术资格）</w:t>
            </w:r>
            <w:r>
              <w:rPr>
                <w:rFonts w:hint="eastAsia" w:cs="宋体" w:asciiTheme="minorEastAsia" w:hAnsiTheme="minorEastAsia"/>
                <w:color w:val="auto"/>
              </w:rPr>
              <w:t>。</w:t>
            </w:r>
          </w:p>
          <w:p w14:paraId="66176224">
            <w:pPr>
              <w:ind w:firstLine="422" w:firstLineChars="200"/>
              <w:rPr>
                <w:rFonts w:hint="eastAsia" w:cs="宋体" w:asciiTheme="minorEastAsia" w:hAnsiTheme="minorEastAsia"/>
                <w:color w:val="auto"/>
              </w:rPr>
            </w:pPr>
            <w:r>
              <w:rPr>
                <w:rFonts w:hint="eastAsia" w:cs="宋体" w:asciiTheme="minorEastAsia" w:hAnsiTheme="minorEastAsia"/>
                <w:b/>
                <w:bCs/>
                <w:color w:val="auto"/>
              </w:rPr>
              <w:t>注：投标文件中须提供相应证书扫描件；提供社保管理单位出具的投标人近半年来为其缴纳的任意连续3个月社保证明。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right w:val="single" w:color="auto" w:sz="4" w:space="0"/>
            </w:tcBorders>
            <w:vAlign w:val="center"/>
          </w:tcPr>
          <w:p w14:paraId="2A1CEBF3">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6分</w:t>
            </w:r>
          </w:p>
        </w:tc>
      </w:tr>
      <w:tr w14:paraId="0E6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continue"/>
            <w:tcBorders>
              <w:left w:val="single" w:color="auto" w:sz="4" w:space="0"/>
              <w:right w:val="single" w:color="auto" w:sz="4" w:space="0"/>
            </w:tcBorders>
            <w:vAlign w:val="center"/>
          </w:tcPr>
          <w:p w14:paraId="0AD26C9E">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459DA3B1">
            <w:pPr>
              <w:rPr>
                <w:rFonts w:hint="eastAsia" w:asciiTheme="minorEastAsia" w:hAnsiTheme="minorEastAsia"/>
                <w:color w:val="auto"/>
                <w:szCs w:val="21"/>
              </w:rPr>
            </w:pPr>
            <w:r>
              <w:rPr>
                <w:rFonts w:hint="eastAsia" w:cs="宋体" w:asciiTheme="minorEastAsia" w:hAnsiTheme="minorEastAsia"/>
                <w:color w:val="auto"/>
                <w:kern w:val="0"/>
                <w:szCs w:val="21"/>
              </w:rPr>
              <w:t>总监理工程师代表</w:t>
            </w:r>
          </w:p>
        </w:tc>
        <w:tc>
          <w:tcPr>
            <w:tcW w:w="8221" w:type="dxa"/>
            <w:tcBorders>
              <w:top w:val="single" w:color="auto" w:sz="4" w:space="0"/>
              <w:left w:val="single" w:color="auto" w:sz="4" w:space="0"/>
              <w:bottom w:val="single" w:color="auto" w:sz="4" w:space="0"/>
              <w:right w:val="single" w:color="auto" w:sz="4" w:space="0"/>
            </w:tcBorders>
            <w:vAlign w:val="center"/>
          </w:tcPr>
          <w:p w14:paraId="4B9DA347">
            <w:pPr>
              <w:rPr>
                <w:rFonts w:hint="eastAsia" w:cs="宋体" w:asciiTheme="minorEastAsia" w:hAnsiTheme="minorEastAsia"/>
                <w:b/>
                <w:bCs/>
                <w:color w:val="auto"/>
              </w:rPr>
            </w:pPr>
            <w:r>
              <w:rPr>
                <w:b/>
                <w:bCs/>
                <w:color w:val="auto"/>
              </w:rPr>
              <w:t>拟派总监理工程师</w:t>
            </w:r>
            <w:r>
              <w:rPr>
                <w:rFonts w:hint="eastAsia"/>
                <w:b/>
                <w:bCs/>
                <w:color w:val="auto"/>
              </w:rPr>
              <w:t>代表</w:t>
            </w:r>
            <w:r>
              <w:rPr>
                <w:b/>
                <w:bCs/>
                <w:color w:val="auto"/>
              </w:rPr>
              <w:t>（1人）除具有信息系统监理师资格证书外，每具有一项以下证书得2分，满分</w:t>
            </w:r>
            <w:r>
              <w:rPr>
                <w:rFonts w:hint="eastAsia"/>
                <w:b/>
                <w:bCs/>
                <w:color w:val="auto"/>
              </w:rPr>
              <w:t>6</w:t>
            </w:r>
            <w:r>
              <w:rPr>
                <w:b/>
                <w:bCs/>
                <w:color w:val="auto"/>
              </w:rPr>
              <w:t>分</w:t>
            </w:r>
            <w:r>
              <w:rPr>
                <w:rFonts w:hint="eastAsia" w:cs="宋体" w:asciiTheme="minorEastAsia" w:hAnsiTheme="minorEastAsia"/>
                <w:b/>
                <w:bCs/>
                <w:color w:val="auto"/>
              </w:rPr>
              <w:t>：</w:t>
            </w:r>
          </w:p>
          <w:p w14:paraId="4D90CE6D">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1</w:t>
            </w:r>
            <w:r>
              <w:rPr>
                <w:rFonts w:hint="eastAsia" w:cs="宋体" w:asciiTheme="minorEastAsia" w:hAnsiTheme="minorEastAsia"/>
                <w:color w:val="auto"/>
                <w:lang w:eastAsia="zh-CN"/>
              </w:rPr>
              <w:t>）</w:t>
            </w:r>
            <w:r>
              <w:rPr>
                <w:rFonts w:hint="eastAsia" w:cs="宋体" w:asciiTheme="minorEastAsia" w:hAnsiTheme="minorEastAsia"/>
                <w:color w:val="auto"/>
              </w:rPr>
              <w:t>系统架构设计师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474C103A">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2</w:t>
            </w:r>
            <w:r>
              <w:rPr>
                <w:rFonts w:hint="eastAsia" w:cs="宋体" w:asciiTheme="minorEastAsia" w:hAnsiTheme="minorEastAsia"/>
                <w:color w:val="auto"/>
                <w:lang w:eastAsia="zh-CN"/>
              </w:rPr>
              <w:t>）</w:t>
            </w:r>
            <w:r>
              <w:rPr>
                <w:rFonts w:hint="eastAsia" w:cs="宋体" w:asciiTheme="minorEastAsia" w:hAnsiTheme="minorEastAsia"/>
                <w:color w:val="auto"/>
              </w:rPr>
              <w:t>软件评测师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4C1758BC">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3</w:t>
            </w:r>
            <w:r>
              <w:rPr>
                <w:rFonts w:hint="eastAsia" w:cs="宋体" w:asciiTheme="minorEastAsia" w:hAnsiTheme="minorEastAsia"/>
                <w:color w:val="auto"/>
                <w:lang w:eastAsia="zh-CN"/>
              </w:rPr>
              <w:t>）</w:t>
            </w:r>
            <w:r>
              <w:rPr>
                <w:rFonts w:hint="eastAsia" w:cs="宋体" w:asciiTheme="minorEastAsia" w:hAnsiTheme="minorEastAsia"/>
                <w:color w:val="auto"/>
              </w:rPr>
              <w:t>信息安全工程师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3525F3FD">
            <w:pPr>
              <w:spacing w:line="240" w:lineRule="atLeast"/>
              <w:ind w:firstLine="422" w:firstLineChars="200"/>
              <w:rPr>
                <w:rFonts w:hint="eastAsia" w:asciiTheme="minorEastAsia" w:hAnsiTheme="minorEastAsia"/>
                <w:b/>
                <w:bCs/>
                <w:color w:val="auto"/>
              </w:rPr>
            </w:pPr>
            <w:r>
              <w:rPr>
                <w:rFonts w:hint="eastAsia" w:cs="宋体" w:asciiTheme="minorEastAsia" w:hAnsiTheme="minorEastAsia"/>
                <w:b/>
                <w:bCs/>
                <w:color w:val="auto"/>
              </w:rPr>
              <w:t>注：投标文件中须提供相应证书扫描件；提供社保管理单位出具的投标人近半年来为其缴纳的任意连续3个月社保证明。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bottom w:val="single" w:color="auto" w:sz="4" w:space="0"/>
              <w:right w:val="single" w:color="auto" w:sz="4" w:space="0"/>
            </w:tcBorders>
            <w:vAlign w:val="center"/>
          </w:tcPr>
          <w:p w14:paraId="0C0DF446">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6分</w:t>
            </w:r>
          </w:p>
        </w:tc>
      </w:tr>
      <w:tr w14:paraId="2552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09" w:type="dxa"/>
            <w:vMerge w:val="continue"/>
            <w:tcBorders>
              <w:left w:val="single" w:color="auto" w:sz="4" w:space="0"/>
              <w:bottom w:val="single" w:color="auto" w:sz="4" w:space="0"/>
              <w:right w:val="single" w:color="auto" w:sz="4" w:space="0"/>
            </w:tcBorders>
            <w:vAlign w:val="center"/>
          </w:tcPr>
          <w:p w14:paraId="3586A66D">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09AB7486">
            <w:pPr>
              <w:rPr>
                <w:rFonts w:hint="eastAsia" w:asciiTheme="minorEastAsia" w:hAnsiTheme="minorEastAsia"/>
                <w:color w:val="auto"/>
              </w:rPr>
            </w:pPr>
            <w:r>
              <w:rPr>
                <w:rFonts w:hint="eastAsia" w:cs="宋体" w:asciiTheme="minorEastAsia" w:hAnsiTheme="minorEastAsia"/>
                <w:color w:val="auto"/>
                <w:kern w:val="0"/>
                <w:szCs w:val="21"/>
              </w:rPr>
              <w:t>监理团队其他人员能力</w:t>
            </w:r>
          </w:p>
        </w:tc>
        <w:tc>
          <w:tcPr>
            <w:tcW w:w="8221" w:type="dxa"/>
            <w:tcBorders>
              <w:top w:val="single" w:color="auto" w:sz="4" w:space="0"/>
              <w:left w:val="single" w:color="auto" w:sz="4" w:space="0"/>
              <w:bottom w:val="single" w:color="auto" w:sz="4" w:space="0"/>
              <w:right w:val="single" w:color="auto" w:sz="4" w:space="0"/>
            </w:tcBorders>
            <w:vAlign w:val="center"/>
          </w:tcPr>
          <w:p w14:paraId="11A1F2C1">
            <w:pPr>
              <w:rPr>
                <w:rFonts w:hint="eastAsia" w:asciiTheme="minorEastAsia" w:hAnsiTheme="minorEastAsia"/>
                <w:color w:val="auto"/>
              </w:rPr>
            </w:pPr>
            <w:r>
              <w:rPr>
                <w:b/>
                <w:bCs/>
                <w:color w:val="auto"/>
              </w:rPr>
              <w:t>拟派</w:t>
            </w:r>
            <w:r>
              <w:rPr>
                <w:rFonts w:hint="eastAsia"/>
                <w:b/>
                <w:bCs/>
                <w:color w:val="auto"/>
              </w:rPr>
              <w:t>其他人员（除总监及总监代表）均</w:t>
            </w:r>
            <w:r>
              <w:rPr>
                <w:b/>
                <w:bCs/>
                <w:color w:val="auto"/>
              </w:rPr>
              <w:t>具有信息系统监理师资格证书外，每具有一项以下证书得2分，满分</w:t>
            </w:r>
            <w:r>
              <w:rPr>
                <w:rFonts w:hint="eastAsia"/>
                <w:b/>
                <w:bCs/>
                <w:color w:val="auto"/>
              </w:rPr>
              <w:t>10</w:t>
            </w:r>
            <w:r>
              <w:rPr>
                <w:b/>
                <w:bCs/>
                <w:color w:val="auto"/>
              </w:rPr>
              <w:t>分</w:t>
            </w:r>
            <w:r>
              <w:rPr>
                <w:rFonts w:hint="eastAsia" w:cs="宋体" w:asciiTheme="minorEastAsia" w:hAnsiTheme="minorEastAsia"/>
                <w:color w:val="auto"/>
              </w:rPr>
              <w:t>：</w:t>
            </w:r>
          </w:p>
          <w:p w14:paraId="1B5CE6A9">
            <w:pPr>
              <w:widowControl/>
              <w:jc w:val="left"/>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1</w:t>
            </w:r>
            <w:r>
              <w:rPr>
                <w:rFonts w:hint="eastAsia" w:cs="宋体" w:asciiTheme="minorEastAsia" w:hAnsiTheme="minorEastAsia"/>
                <w:color w:val="auto"/>
                <w:lang w:eastAsia="zh-CN"/>
              </w:rPr>
              <w:t>）</w:t>
            </w:r>
            <w:r>
              <w:rPr>
                <w:rFonts w:hint="eastAsia" w:cs="宋体" w:asciiTheme="minorEastAsia" w:hAnsiTheme="minorEastAsia"/>
                <w:color w:val="auto"/>
              </w:rPr>
              <w:t>系统分析师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546DA5BE">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2</w:t>
            </w:r>
            <w:r>
              <w:rPr>
                <w:rFonts w:hint="eastAsia" w:cs="宋体" w:asciiTheme="minorEastAsia" w:hAnsiTheme="minorEastAsia"/>
                <w:color w:val="auto"/>
                <w:lang w:eastAsia="zh-CN"/>
              </w:rPr>
              <w:t>）</w:t>
            </w:r>
            <w:r>
              <w:rPr>
                <w:rFonts w:hint="eastAsia" w:cs="宋体" w:asciiTheme="minorEastAsia" w:hAnsiTheme="minorEastAsia"/>
                <w:color w:val="auto"/>
              </w:rPr>
              <w:t>网络规划设计师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5839823E">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3</w:t>
            </w:r>
            <w:r>
              <w:rPr>
                <w:rFonts w:hint="eastAsia" w:cs="宋体" w:asciiTheme="minorEastAsia" w:hAnsiTheme="minorEastAsia"/>
                <w:color w:val="auto"/>
                <w:lang w:eastAsia="zh-CN"/>
              </w:rPr>
              <w:t>）</w:t>
            </w:r>
            <w:r>
              <w:rPr>
                <w:rFonts w:hint="eastAsia" w:cs="宋体" w:asciiTheme="minorEastAsia" w:hAnsiTheme="minorEastAsia"/>
                <w:color w:val="auto"/>
              </w:rPr>
              <w:t>软件设计师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75F907C9">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4</w:t>
            </w:r>
            <w:r>
              <w:rPr>
                <w:rFonts w:hint="eastAsia" w:cs="宋体" w:asciiTheme="minorEastAsia" w:hAnsiTheme="minorEastAsia"/>
                <w:color w:val="auto"/>
                <w:lang w:eastAsia="zh-CN"/>
              </w:rPr>
              <w:t>）</w:t>
            </w:r>
            <w:r>
              <w:rPr>
                <w:rFonts w:hint="eastAsia" w:cs="宋体" w:asciiTheme="minorEastAsia" w:hAnsiTheme="minorEastAsia"/>
                <w:color w:val="auto"/>
              </w:rPr>
              <w:t>数据库系统工程师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149DB7F0">
            <w:pPr>
              <w:rPr>
                <w:rFonts w:hint="eastAsia" w:cs="宋体" w:asciiTheme="minorEastAsia" w:hAnsiTheme="minorEastAsia"/>
                <w:color w:val="auto"/>
              </w:rPr>
            </w:pPr>
            <w:r>
              <w:rPr>
                <w:rFonts w:hint="eastAsia" w:cs="宋体" w:asciiTheme="minorEastAsia" w:hAnsiTheme="minorEastAsia"/>
                <w:color w:val="auto"/>
                <w:lang w:eastAsia="zh-CN"/>
              </w:rPr>
              <w:t>（</w:t>
            </w:r>
            <w:r>
              <w:rPr>
                <w:rFonts w:hint="eastAsia" w:cs="宋体" w:asciiTheme="minorEastAsia" w:hAnsiTheme="minorEastAsia"/>
                <w:color w:val="auto"/>
              </w:rPr>
              <w:t>5</w:t>
            </w:r>
            <w:r>
              <w:rPr>
                <w:rFonts w:hint="eastAsia" w:cs="宋体" w:asciiTheme="minorEastAsia" w:hAnsiTheme="minorEastAsia"/>
                <w:color w:val="auto"/>
                <w:lang w:eastAsia="zh-CN"/>
              </w:rPr>
              <w:t>）</w:t>
            </w:r>
            <w:r>
              <w:rPr>
                <w:rFonts w:hint="eastAsia" w:cs="宋体" w:asciiTheme="minorEastAsia" w:hAnsiTheme="minorEastAsia"/>
                <w:color w:val="auto"/>
              </w:rPr>
              <w:t>系统规划与管理师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01A620DF">
            <w:pPr>
              <w:spacing w:line="240" w:lineRule="atLeast"/>
              <w:ind w:firstLine="422" w:firstLineChars="200"/>
              <w:rPr>
                <w:rFonts w:hint="eastAsia" w:cs="宋体" w:asciiTheme="minorEastAsia" w:hAnsiTheme="minorEastAsia"/>
                <w:color w:val="auto"/>
              </w:rPr>
            </w:pPr>
            <w:r>
              <w:rPr>
                <w:rFonts w:hint="eastAsia" w:cs="宋体" w:asciiTheme="minorEastAsia" w:hAnsiTheme="minorEastAsia"/>
                <w:b/>
                <w:bCs/>
                <w:color w:val="auto"/>
              </w:rPr>
              <w:t>注：同一证书不累计计分，同一人员具有多个证书的只计一个证书得分；投标文件中须提供相应证书扫描件；提供社保管理单位出具的投标人近半年来为其缴纳的任意连续3个月社保证明。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bottom w:val="single" w:color="auto" w:sz="4" w:space="0"/>
              <w:right w:val="single" w:color="auto" w:sz="4" w:space="0"/>
            </w:tcBorders>
            <w:vAlign w:val="center"/>
          </w:tcPr>
          <w:p w14:paraId="5D47C4B4">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w:t>
            </w:r>
            <w:r>
              <w:rPr>
                <w:rFonts w:hint="eastAsia" w:cs="宋体" w:asciiTheme="minorEastAsia" w:hAnsiTheme="minorEastAsia"/>
                <w:b/>
                <w:bCs/>
                <w:color w:val="auto"/>
              </w:rPr>
              <w:t>分</w:t>
            </w:r>
          </w:p>
        </w:tc>
      </w:tr>
      <w:tr w14:paraId="4F6A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09" w:type="dxa"/>
            <w:tcBorders>
              <w:top w:val="single" w:color="auto" w:sz="4" w:space="0"/>
              <w:left w:val="single" w:color="auto" w:sz="4" w:space="0"/>
              <w:bottom w:val="single" w:color="auto" w:sz="4" w:space="0"/>
              <w:right w:val="single" w:color="auto" w:sz="4" w:space="0"/>
            </w:tcBorders>
            <w:vAlign w:val="center"/>
          </w:tcPr>
          <w:p w14:paraId="5BE2C668">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4</w:t>
            </w:r>
          </w:p>
        </w:tc>
        <w:tc>
          <w:tcPr>
            <w:tcW w:w="1135" w:type="dxa"/>
            <w:tcBorders>
              <w:top w:val="single" w:color="auto" w:sz="4" w:space="0"/>
              <w:left w:val="single" w:color="auto" w:sz="4" w:space="0"/>
              <w:bottom w:val="single" w:color="auto" w:sz="4" w:space="0"/>
              <w:right w:val="single" w:color="auto" w:sz="4" w:space="0"/>
            </w:tcBorders>
            <w:vAlign w:val="center"/>
          </w:tcPr>
          <w:p w14:paraId="25E26916">
            <w:pPr>
              <w:jc w:val="center"/>
              <w:rPr>
                <w:rFonts w:hint="eastAsia" w:cs="宋体" w:asciiTheme="minorEastAsia" w:hAnsiTheme="minorEastAsia"/>
                <w:color w:val="auto"/>
              </w:rPr>
            </w:pPr>
            <w:r>
              <w:rPr>
                <w:rFonts w:hint="eastAsia" w:cs="宋体" w:asciiTheme="minorEastAsia" w:hAnsiTheme="minorEastAsia"/>
                <w:color w:val="auto"/>
              </w:rPr>
              <w:t>投标人</w:t>
            </w:r>
          </w:p>
          <w:p w14:paraId="79E63AA5">
            <w:pPr>
              <w:jc w:val="center"/>
              <w:rPr>
                <w:rFonts w:hint="eastAsia" w:asciiTheme="minorEastAsia" w:hAnsiTheme="minorEastAsia"/>
                <w:color w:val="auto"/>
              </w:rPr>
            </w:pPr>
            <w:r>
              <w:rPr>
                <w:rFonts w:hint="eastAsia" w:cs="宋体" w:asciiTheme="minorEastAsia" w:hAnsiTheme="minorEastAsia"/>
                <w:color w:val="auto"/>
              </w:rPr>
              <w:t>业绩</w:t>
            </w:r>
          </w:p>
        </w:tc>
        <w:tc>
          <w:tcPr>
            <w:tcW w:w="8221" w:type="dxa"/>
            <w:tcBorders>
              <w:top w:val="single" w:color="auto" w:sz="4" w:space="0"/>
              <w:left w:val="single" w:color="auto" w:sz="4" w:space="0"/>
              <w:bottom w:val="single" w:color="auto" w:sz="4" w:space="0"/>
              <w:right w:val="single" w:color="auto" w:sz="4" w:space="0"/>
            </w:tcBorders>
            <w:vAlign w:val="center"/>
          </w:tcPr>
          <w:p w14:paraId="1064BAFD">
            <w:pPr>
              <w:spacing w:line="400" w:lineRule="exact"/>
              <w:rPr>
                <w:rFonts w:hint="eastAsia" w:cs="宋体" w:asciiTheme="minorEastAsia" w:hAnsiTheme="minorEastAsia"/>
                <w:color w:val="auto"/>
              </w:rPr>
            </w:pPr>
            <w:r>
              <w:rPr>
                <w:rFonts w:hint="eastAsia" w:cs="宋体" w:asciiTheme="minorEastAsia" w:hAnsiTheme="minorEastAsia"/>
                <w:color w:val="auto"/>
              </w:rPr>
              <w:t>投标人自</w:t>
            </w:r>
            <w:r>
              <w:rPr>
                <w:rFonts w:cs="宋体" w:asciiTheme="minorEastAsia" w:hAnsiTheme="minorEastAsia"/>
                <w:color w:val="auto"/>
              </w:rPr>
              <w:t>20</w:t>
            </w:r>
            <w:r>
              <w:rPr>
                <w:rFonts w:hint="eastAsia" w:cs="宋体" w:asciiTheme="minorEastAsia" w:hAnsiTheme="minorEastAsia"/>
                <w:color w:val="auto"/>
              </w:rPr>
              <w:t>21年1月1日至今（以合同签订时间为准），具有信息化项目监理业绩的，每具有一个得5分：</w:t>
            </w:r>
          </w:p>
          <w:p w14:paraId="036636E2">
            <w:pPr>
              <w:ind w:firstLine="422" w:firstLineChars="200"/>
              <w:rPr>
                <w:rFonts w:hint="eastAsia" w:asciiTheme="minorEastAsia" w:hAnsiTheme="minorEastAsia"/>
                <w:color w:val="auto"/>
                <w:kern w:val="0"/>
              </w:rPr>
            </w:pPr>
            <w:r>
              <w:rPr>
                <w:rFonts w:hint="eastAsia" w:cs="宋体" w:asciiTheme="minorEastAsia" w:hAnsiTheme="minorEastAsia"/>
                <w:b/>
                <w:bCs/>
                <w:color w:val="auto"/>
              </w:rPr>
              <w:t>注：</w:t>
            </w:r>
            <w:r>
              <w:rPr>
                <w:rFonts w:cs="宋体" w:asciiTheme="minorEastAsia" w:hAnsiTheme="minorEastAsia"/>
                <w:b/>
                <w:bCs/>
                <w:color w:val="auto"/>
              </w:rPr>
              <w:t>投标文件中须提供业绩合同证明材料扫描件</w:t>
            </w:r>
            <w:r>
              <w:rPr>
                <w:rFonts w:hint="eastAsia" w:cs="宋体" w:asciiTheme="minorEastAsia" w:hAnsiTheme="minorEastAsia"/>
                <w:b/>
                <w:bCs/>
                <w:color w:val="auto"/>
              </w:rPr>
              <w:t>。</w:t>
            </w:r>
          </w:p>
        </w:tc>
        <w:tc>
          <w:tcPr>
            <w:tcW w:w="851" w:type="dxa"/>
            <w:tcBorders>
              <w:top w:val="single" w:color="auto" w:sz="4" w:space="0"/>
              <w:left w:val="single" w:color="auto" w:sz="4" w:space="0"/>
              <w:bottom w:val="single" w:color="auto" w:sz="4" w:space="0"/>
              <w:right w:val="single" w:color="auto" w:sz="4" w:space="0"/>
            </w:tcBorders>
            <w:vAlign w:val="center"/>
          </w:tcPr>
          <w:p w14:paraId="03542DB5">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2</w:t>
            </w:r>
            <w:r>
              <w:rPr>
                <w:rFonts w:cs="宋体" w:asciiTheme="minorEastAsia" w:hAnsiTheme="minorEastAsia"/>
                <w:b/>
                <w:bCs/>
                <w:color w:val="auto"/>
              </w:rPr>
              <w:t>0</w:t>
            </w:r>
            <w:r>
              <w:rPr>
                <w:rFonts w:hint="eastAsia" w:cs="宋体" w:asciiTheme="minorEastAsia" w:hAnsiTheme="minorEastAsia"/>
                <w:b/>
                <w:bCs/>
                <w:color w:val="auto"/>
              </w:rPr>
              <w:t>分</w:t>
            </w:r>
          </w:p>
        </w:tc>
      </w:tr>
      <w:tr w14:paraId="1D1A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3899D4D0">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5</w:t>
            </w:r>
          </w:p>
        </w:tc>
        <w:tc>
          <w:tcPr>
            <w:tcW w:w="1135" w:type="dxa"/>
            <w:tcBorders>
              <w:top w:val="single" w:color="auto" w:sz="4" w:space="0"/>
              <w:left w:val="single" w:color="auto" w:sz="4" w:space="0"/>
              <w:bottom w:val="single" w:color="auto" w:sz="4" w:space="0"/>
              <w:right w:val="single" w:color="auto" w:sz="4" w:space="0"/>
            </w:tcBorders>
            <w:vAlign w:val="center"/>
          </w:tcPr>
          <w:p w14:paraId="00860B6E">
            <w:pPr>
              <w:rPr>
                <w:rFonts w:hint="eastAsia" w:asciiTheme="minorEastAsia" w:hAnsiTheme="minorEastAsia"/>
                <w:color w:val="auto"/>
              </w:rPr>
            </w:pPr>
            <w:r>
              <w:rPr>
                <w:rFonts w:hint="eastAsia" w:cs="宋体" w:asciiTheme="minorEastAsia" w:hAnsiTheme="minorEastAsia"/>
                <w:color w:val="auto"/>
              </w:rPr>
              <w:t>企业实力</w:t>
            </w:r>
          </w:p>
        </w:tc>
        <w:tc>
          <w:tcPr>
            <w:tcW w:w="8221" w:type="dxa"/>
            <w:tcBorders>
              <w:top w:val="single" w:color="auto" w:sz="4" w:space="0"/>
              <w:left w:val="single" w:color="auto" w:sz="4" w:space="0"/>
              <w:bottom w:val="single" w:color="auto" w:sz="4" w:space="0"/>
              <w:right w:val="single" w:color="auto" w:sz="4" w:space="0"/>
            </w:tcBorders>
            <w:vAlign w:val="center"/>
          </w:tcPr>
          <w:p w14:paraId="5C4924CB">
            <w:pPr>
              <w:spacing w:line="400" w:lineRule="exact"/>
              <w:rPr>
                <w:rFonts w:cs="宋体"/>
                <w:color w:val="auto"/>
              </w:rPr>
            </w:pPr>
            <w:r>
              <w:rPr>
                <w:rFonts w:hint="eastAsia" w:cs="宋体" w:asciiTheme="minorEastAsia" w:hAnsiTheme="minorEastAsia"/>
                <w:color w:val="auto"/>
                <w:lang w:eastAsia="zh-CN"/>
              </w:rPr>
              <w:t>（</w:t>
            </w:r>
            <w:r>
              <w:rPr>
                <w:rFonts w:hint="eastAsia" w:cs="宋体" w:asciiTheme="minorEastAsia" w:hAnsiTheme="minorEastAsia"/>
                <w:color w:val="auto"/>
              </w:rPr>
              <w:t>1</w:t>
            </w:r>
            <w:r>
              <w:rPr>
                <w:rFonts w:hint="eastAsia" w:cs="宋体" w:asciiTheme="minorEastAsia" w:hAnsiTheme="minorEastAsia"/>
                <w:color w:val="auto"/>
                <w:lang w:eastAsia="zh-CN"/>
              </w:rPr>
              <w:t>）</w:t>
            </w:r>
            <w:r>
              <w:rPr>
                <w:rFonts w:hint="eastAsia" w:cs="宋体"/>
                <w:color w:val="auto"/>
              </w:rPr>
              <w:t xml:space="preserve">具有信息技术服务管理体系认证证书，得2分； </w:t>
            </w:r>
          </w:p>
          <w:p w14:paraId="7D156396">
            <w:pPr>
              <w:spacing w:line="400" w:lineRule="exact"/>
              <w:rPr>
                <w:rFonts w:ascii="Helvetica" w:hAnsi="Helvetica"/>
                <w:color w:val="auto"/>
                <w:szCs w:val="21"/>
                <w:shd w:val="clear" w:color="auto" w:fill="FFFFFF"/>
              </w:rPr>
            </w:pPr>
            <w:r>
              <w:rPr>
                <w:rFonts w:hint="eastAsia" w:cs="宋体" w:asciiTheme="minorEastAsia" w:hAnsiTheme="minorEastAsia"/>
                <w:color w:val="auto"/>
                <w:lang w:eastAsia="zh-CN"/>
              </w:rPr>
              <w:t>（</w:t>
            </w:r>
            <w:r>
              <w:rPr>
                <w:rFonts w:hint="eastAsia" w:cs="宋体" w:asciiTheme="minorEastAsia" w:hAnsiTheme="minorEastAsia"/>
                <w:color w:val="auto"/>
              </w:rPr>
              <w:t>2</w:t>
            </w:r>
            <w:r>
              <w:rPr>
                <w:rFonts w:hint="eastAsia" w:cs="宋体" w:asciiTheme="minorEastAsia" w:hAnsiTheme="minorEastAsia"/>
                <w:color w:val="auto"/>
                <w:lang w:eastAsia="zh-CN"/>
              </w:rPr>
              <w:t>）</w:t>
            </w:r>
            <w:r>
              <w:rPr>
                <w:rFonts w:hint="eastAsia" w:ascii="Helvetica" w:hAnsi="Helvetica"/>
                <w:color w:val="auto"/>
                <w:szCs w:val="21"/>
                <w:shd w:val="clear" w:color="auto" w:fill="FFFFFF"/>
              </w:rPr>
              <w:t>具有</w:t>
            </w:r>
            <w:r>
              <w:rPr>
                <w:rFonts w:ascii="Helvetica" w:hAnsi="Helvetica"/>
                <w:color w:val="auto"/>
                <w:szCs w:val="21"/>
                <w:shd w:val="clear" w:color="auto" w:fill="FFFFFF"/>
              </w:rPr>
              <w:t>知识产权管理体系认证</w:t>
            </w:r>
            <w:r>
              <w:rPr>
                <w:rFonts w:hint="eastAsia" w:ascii="Helvetica" w:hAnsi="Helvetica"/>
                <w:color w:val="auto"/>
                <w:szCs w:val="21"/>
                <w:shd w:val="clear" w:color="auto" w:fill="FFFFFF"/>
              </w:rPr>
              <w:t>证书，</w:t>
            </w:r>
            <w:r>
              <w:rPr>
                <w:rFonts w:hint="eastAsia" w:cs="宋体"/>
                <w:color w:val="auto"/>
              </w:rPr>
              <w:t>得2分</w:t>
            </w:r>
            <w:r>
              <w:rPr>
                <w:rFonts w:hint="eastAsia" w:ascii="Helvetica" w:hAnsi="Helvetica"/>
                <w:color w:val="auto"/>
                <w:szCs w:val="21"/>
                <w:shd w:val="clear" w:color="auto" w:fill="FFFFFF"/>
              </w:rPr>
              <w:t>；</w:t>
            </w:r>
          </w:p>
          <w:p w14:paraId="389A5FF0">
            <w:pPr>
              <w:spacing w:line="400" w:lineRule="exact"/>
              <w:rPr>
                <w:rFonts w:cs="宋体"/>
                <w:color w:val="auto"/>
              </w:rPr>
            </w:pPr>
            <w:r>
              <w:rPr>
                <w:rFonts w:hint="eastAsia" w:cs="宋体" w:asciiTheme="minorEastAsia" w:hAnsiTheme="minorEastAsia"/>
                <w:color w:val="auto"/>
                <w:lang w:eastAsia="zh-CN"/>
              </w:rPr>
              <w:t>（</w:t>
            </w:r>
            <w:r>
              <w:rPr>
                <w:rFonts w:hint="eastAsia" w:cs="宋体" w:asciiTheme="minorEastAsia" w:hAnsiTheme="minorEastAsia"/>
                <w:color w:val="auto"/>
              </w:rPr>
              <w:t>3</w:t>
            </w:r>
            <w:r>
              <w:rPr>
                <w:rFonts w:hint="eastAsia" w:cs="宋体" w:asciiTheme="minorEastAsia" w:hAnsiTheme="minorEastAsia"/>
                <w:color w:val="auto"/>
                <w:lang w:eastAsia="zh-CN"/>
              </w:rPr>
              <w:t>）</w:t>
            </w:r>
            <w:r>
              <w:rPr>
                <w:rFonts w:hint="eastAsia" w:cs="宋体"/>
                <w:color w:val="auto"/>
              </w:rPr>
              <w:t>具有</w:t>
            </w:r>
            <w:r>
              <w:rPr>
                <w:rFonts w:cs="宋体"/>
                <w:color w:val="auto"/>
              </w:rPr>
              <w:t>隐私信息管理体系认证证书</w:t>
            </w:r>
            <w:r>
              <w:rPr>
                <w:rFonts w:hint="eastAsia" w:cs="宋体"/>
                <w:color w:val="auto"/>
              </w:rPr>
              <w:t>，得2分；</w:t>
            </w:r>
          </w:p>
          <w:p w14:paraId="155F4A24">
            <w:pPr>
              <w:spacing w:line="400" w:lineRule="exact"/>
              <w:rPr>
                <w:rFonts w:cs="宋体"/>
                <w:color w:val="auto"/>
              </w:rPr>
            </w:pPr>
            <w:r>
              <w:rPr>
                <w:rFonts w:hint="eastAsia" w:cs="宋体" w:asciiTheme="minorEastAsia" w:hAnsiTheme="minorEastAsia"/>
                <w:color w:val="auto"/>
                <w:lang w:eastAsia="zh-CN"/>
              </w:rPr>
              <w:t>（</w:t>
            </w:r>
            <w:r>
              <w:rPr>
                <w:rFonts w:hint="eastAsia" w:cs="宋体" w:asciiTheme="minorEastAsia" w:hAnsiTheme="minorEastAsia"/>
                <w:color w:val="auto"/>
              </w:rPr>
              <w:t>4</w:t>
            </w:r>
            <w:r>
              <w:rPr>
                <w:rFonts w:hint="eastAsia" w:cs="宋体" w:asciiTheme="minorEastAsia" w:hAnsiTheme="minorEastAsia"/>
                <w:color w:val="auto"/>
                <w:lang w:eastAsia="zh-CN"/>
              </w:rPr>
              <w:t>）</w:t>
            </w:r>
            <w:r>
              <w:rPr>
                <w:rFonts w:hint="eastAsia" w:cs="宋体"/>
                <w:color w:val="auto"/>
              </w:rPr>
              <w:t>具有</w:t>
            </w:r>
            <w:r>
              <w:rPr>
                <w:rFonts w:cs="宋体"/>
                <w:color w:val="auto"/>
              </w:rPr>
              <w:t>中国网络安全审查认证和市场监管大数据中心（原中国网络安全审查技术与认证中心</w:t>
            </w:r>
            <w:r>
              <w:rPr>
                <w:rFonts w:hint="eastAsia" w:cs="宋体"/>
                <w:color w:val="auto"/>
              </w:rPr>
              <w:t>）</w:t>
            </w:r>
            <w:r>
              <w:rPr>
                <w:rFonts w:cs="宋体"/>
                <w:color w:val="auto"/>
              </w:rPr>
              <w:t>颁发的信息安全风险评估</w:t>
            </w:r>
            <w:r>
              <w:rPr>
                <w:rFonts w:hint="eastAsia" w:cs="宋体"/>
                <w:color w:val="auto"/>
              </w:rPr>
              <w:t>服务</w:t>
            </w:r>
            <w:r>
              <w:rPr>
                <w:rFonts w:cs="宋体"/>
                <w:color w:val="auto"/>
              </w:rPr>
              <w:t>资质的</w:t>
            </w:r>
            <w:r>
              <w:rPr>
                <w:rFonts w:hint="eastAsia" w:cs="宋体"/>
                <w:color w:val="auto"/>
              </w:rPr>
              <w:t>，得2分。</w:t>
            </w:r>
          </w:p>
          <w:p w14:paraId="03ABF34A">
            <w:pPr>
              <w:ind w:firstLine="422" w:firstLineChars="200"/>
              <w:rPr>
                <w:rFonts w:hint="eastAsia" w:asciiTheme="minorEastAsia" w:hAnsiTheme="minorEastAsia"/>
                <w:color w:val="auto"/>
              </w:rPr>
            </w:pPr>
            <w:r>
              <w:rPr>
                <w:rFonts w:hint="eastAsia" w:cs="宋体" w:asciiTheme="minorEastAsia" w:hAnsiTheme="minorEastAsia"/>
                <w:b/>
                <w:bCs/>
                <w:color w:val="auto"/>
                <w:kern w:val="0"/>
              </w:rPr>
              <w:t>注：</w:t>
            </w:r>
            <w:r>
              <w:rPr>
                <w:rFonts w:cs="宋体" w:asciiTheme="minorEastAsia" w:hAnsiTheme="minorEastAsia"/>
                <w:b/>
                <w:bCs/>
                <w:color w:val="auto"/>
                <w:kern w:val="0"/>
              </w:rPr>
              <w:t>投标文件中提供相应的证书扫描件；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76A117CD">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8分</w:t>
            </w:r>
          </w:p>
        </w:tc>
      </w:tr>
      <w:tr w14:paraId="375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2F67ACB5">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spacing w:val="10"/>
                <w:sz w:val="24"/>
                <w:szCs w:val="24"/>
              </w:rPr>
              <w:t>二、价格评审标准（1</w:t>
            </w:r>
            <w:r>
              <w:rPr>
                <w:rFonts w:cs="宋体" w:asciiTheme="minorEastAsia" w:hAnsiTheme="minorEastAsia"/>
                <w:b/>
                <w:bCs/>
                <w:color w:val="auto"/>
                <w:spacing w:val="10"/>
                <w:sz w:val="24"/>
                <w:szCs w:val="24"/>
              </w:rPr>
              <w:t>0</w:t>
            </w:r>
            <w:r>
              <w:rPr>
                <w:rFonts w:hint="eastAsia" w:cs="宋体" w:asciiTheme="minorEastAsia" w:hAnsiTheme="minorEastAsia"/>
                <w:b/>
                <w:bCs/>
                <w:color w:val="auto"/>
                <w:spacing w:val="10"/>
                <w:sz w:val="24"/>
                <w:szCs w:val="24"/>
              </w:rPr>
              <w:t>分）</w:t>
            </w:r>
          </w:p>
        </w:tc>
      </w:tr>
      <w:tr w14:paraId="4C3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B57D88A">
            <w:pPr>
              <w:spacing w:line="500" w:lineRule="exact"/>
              <w:rPr>
                <w:rFonts w:hint="eastAsia" w:asciiTheme="minorEastAsia" w:hAnsiTheme="minorEastAsia"/>
                <w:b/>
                <w:bCs/>
                <w:color w:val="auto"/>
              </w:rPr>
            </w:pPr>
            <w:r>
              <w:rPr>
                <w:rFonts w:hint="eastAsia" w:asciiTheme="minorEastAsia" w:hAnsiTheme="minorEastAsia"/>
                <w:b/>
                <w:bCs/>
                <w:color w:val="auto"/>
              </w:rPr>
              <w:t>1</w:t>
            </w:r>
          </w:p>
        </w:tc>
        <w:tc>
          <w:tcPr>
            <w:tcW w:w="1135" w:type="dxa"/>
            <w:tcBorders>
              <w:top w:val="single" w:color="auto" w:sz="4" w:space="0"/>
              <w:left w:val="single" w:color="auto" w:sz="4" w:space="0"/>
              <w:bottom w:val="single" w:color="auto" w:sz="4" w:space="0"/>
              <w:right w:val="single" w:color="auto" w:sz="4" w:space="0"/>
            </w:tcBorders>
            <w:vAlign w:val="center"/>
          </w:tcPr>
          <w:p w14:paraId="741B1121">
            <w:pPr>
              <w:jc w:val="center"/>
              <w:rPr>
                <w:rFonts w:hint="eastAsia" w:asciiTheme="minorEastAsia" w:hAnsiTheme="minorEastAsia"/>
                <w:color w:val="auto"/>
              </w:rPr>
            </w:pPr>
            <w:r>
              <w:rPr>
                <w:rFonts w:hint="eastAsia" w:asciiTheme="minorEastAsia" w:hAnsiTheme="minorEastAsia"/>
                <w:color w:val="auto"/>
              </w:rPr>
              <w:t>价格评审</w:t>
            </w:r>
          </w:p>
        </w:tc>
        <w:tc>
          <w:tcPr>
            <w:tcW w:w="8221" w:type="dxa"/>
            <w:tcBorders>
              <w:top w:val="single" w:color="auto" w:sz="4" w:space="0"/>
              <w:left w:val="single" w:color="auto" w:sz="4" w:space="0"/>
              <w:bottom w:val="single" w:color="auto" w:sz="4" w:space="0"/>
              <w:right w:val="single" w:color="auto" w:sz="4" w:space="0"/>
            </w:tcBorders>
            <w:vAlign w:val="center"/>
          </w:tcPr>
          <w:p w14:paraId="4D6D0783">
            <w:pPr>
              <w:pStyle w:val="9"/>
              <w:ind w:left="0" w:leftChars="0"/>
              <w:rPr>
                <w:rFonts w:hint="eastAsia" w:asciiTheme="minorEastAsia" w:hAnsiTheme="minorEastAsia"/>
                <w:color w:val="auto"/>
                <w:sz w:val="21"/>
                <w:szCs w:val="21"/>
              </w:rPr>
            </w:pPr>
            <w:r>
              <w:rPr>
                <w:color w:val="auto"/>
                <w:sz w:val="21"/>
                <w:szCs w:val="21"/>
              </w:rPr>
              <w:t>价格分统一采用低价优先法，即满足招标文件要求且投标价格最低的投标报价为评标基准价，其价格分为满分10分。其他投标人的价格分统一按照下列公式计算：投标报价得分＝（评标基准价/投标报价）×10％×100</w:t>
            </w:r>
          </w:p>
        </w:tc>
        <w:tc>
          <w:tcPr>
            <w:tcW w:w="851" w:type="dxa"/>
            <w:tcBorders>
              <w:top w:val="single" w:color="auto" w:sz="4" w:space="0"/>
              <w:left w:val="single" w:color="auto" w:sz="4" w:space="0"/>
              <w:bottom w:val="single" w:color="auto" w:sz="4" w:space="0"/>
              <w:right w:val="single" w:color="auto" w:sz="4" w:space="0"/>
            </w:tcBorders>
            <w:vAlign w:val="center"/>
          </w:tcPr>
          <w:p w14:paraId="6AC6156A">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w:t>
            </w:r>
            <w:r>
              <w:rPr>
                <w:rFonts w:hint="eastAsia" w:cs="宋体" w:asciiTheme="minorEastAsia" w:hAnsiTheme="minorEastAsia"/>
                <w:b/>
                <w:bCs/>
                <w:color w:val="auto"/>
              </w:rPr>
              <w:t>分</w:t>
            </w:r>
          </w:p>
        </w:tc>
      </w:tr>
      <w:tr w14:paraId="0F8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7238985">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295FB40C">
            <w:pPr>
              <w:jc w:val="center"/>
              <w:rPr>
                <w:rFonts w:hint="eastAsia" w:cs="宋体" w:asciiTheme="minorEastAsia" w:hAnsiTheme="minorEastAsia"/>
                <w:color w:val="auto"/>
              </w:rPr>
            </w:pPr>
            <w:r>
              <w:rPr>
                <w:rFonts w:hint="eastAsia" w:cs="宋体" w:asciiTheme="minorEastAsia" w:hAnsiTheme="minorEastAsia"/>
                <w:color w:val="auto"/>
              </w:rPr>
              <w:t>合计</w:t>
            </w:r>
          </w:p>
        </w:tc>
        <w:tc>
          <w:tcPr>
            <w:tcW w:w="8221" w:type="dxa"/>
            <w:tcBorders>
              <w:top w:val="single" w:color="auto" w:sz="4" w:space="0"/>
              <w:left w:val="single" w:color="auto" w:sz="4" w:space="0"/>
              <w:bottom w:val="single" w:color="auto" w:sz="4" w:space="0"/>
              <w:right w:val="single" w:color="auto" w:sz="4" w:space="0"/>
            </w:tcBorders>
            <w:vAlign w:val="center"/>
          </w:tcPr>
          <w:p w14:paraId="578AE63B">
            <w:pPr>
              <w:rPr>
                <w:rFonts w:hint="eastAsia" w:asciiTheme="minorEastAsia" w:hAnsiTheme="minorEastAsia"/>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14:paraId="06AF5648">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00</w:t>
            </w:r>
            <w:r>
              <w:rPr>
                <w:rFonts w:hint="eastAsia" w:cs="宋体" w:asciiTheme="minorEastAsia" w:hAnsiTheme="minorEastAsia"/>
                <w:b/>
                <w:bCs/>
                <w:color w:val="auto"/>
              </w:rPr>
              <w:t>分</w:t>
            </w:r>
          </w:p>
        </w:tc>
      </w:tr>
    </w:tbl>
    <w:p w14:paraId="48CEE545">
      <w:pPr>
        <w:tabs>
          <w:tab w:val="left" w:pos="0"/>
        </w:tabs>
        <w:adjustRightInd w:val="0"/>
        <w:snapToGrid w:val="0"/>
        <w:spacing w:line="360" w:lineRule="auto"/>
        <w:ind w:firstLine="482" w:firstLineChars="200"/>
        <w:jc w:val="left"/>
        <w:rPr>
          <w:rFonts w:hint="eastAsia" w:cs="宋体" w:asciiTheme="minorEastAsia" w:hAnsiTheme="minorEastAsia"/>
          <w:b/>
          <w:color w:val="auto"/>
          <w:kern w:val="0"/>
          <w:sz w:val="24"/>
          <w:szCs w:val="24"/>
        </w:rPr>
      </w:pPr>
      <w:r>
        <w:rPr>
          <w:rFonts w:cs="宋体" w:asciiTheme="minorEastAsia" w:hAnsiTheme="minorEastAsia"/>
          <w:b/>
          <w:color w:val="auto"/>
          <w:kern w:val="0"/>
          <w:sz w:val="24"/>
          <w:szCs w:val="24"/>
        </w:rPr>
        <w:t>投标人最终得分汇总</w:t>
      </w:r>
    </w:p>
    <w:p w14:paraId="443E5637">
      <w:pPr>
        <w:tabs>
          <w:tab w:val="left" w:pos="720"/>
        </w:tabs>
        <w:spacing w:line="560" w:lineRule="exact"/>
        <w:ind w:firstLine="480" w:firstLineChars="200"/>
        <w:jc w:val="left"/>
        <w:rPr>
          <w:rFonts w:hint="eastAsia"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投标人最终得分=</w:t>
      </w:r>
      <w:r>
        <w:rPr>
          <w:rFonts w:hint="eastAsia" w:cs="宋体" w:asciiTheme="minorEastAsia" w:hAnsiTheme="minorEastAsia"/>
          <w:color w:val="auto"/>
          <w:kern w:val="0"/>
          <w:sz w:val="24"/>
          <w:szCs w:val="24"/>
        </w:rPr>
        <w:t>资信</w:t>
      </w:r>
      <w:r>
        <w:rPr>
          <w:rFonts w:cs="宋体" w:asciiTheme="minorEastAsia" w:hAnsiTheme="minorEastAsia"/>
          <w:color w:val="auto"/>
          <w:kern w:val="0"/>
          <w:sz w:val="24"/>
          <w:szCs w:val="24"/>
        </w:rPr>
        <w:t>技术得分+商务</w:t>
      </w:r>
      <w:r>
        <w:rPr>
          <w:rFonts w:hint="eastAsia" w:cs="宋体" w:asciiTheme="minorEastAsia" w:hAnsiTheme="minorEastAsia"/>
          <w:color w:val="auto"/>
          <w:kern w:val="0"/>
          <w:sz w:val="24"/>
          <w:szCs w:val="24"/>
        </w:rPr>
        <w:t>报价</w:t>
      </w:r>
      <w:r>
        <w:rPr>
          <w:rFonts w:cs="宋体" w:asciiTheme="minorEastAsia" w:hAnsiTheme="minorEastAsia"/>
          <w:color w:val="auto"/>
          <w:kern w:val="0"/>
          <w:sz w:val="24"/>
          <w:szCs w:val="24"/>
        </w:rPr>
        <w:t>得分。</w:t>
      </w:r>
    </w:p>
    <w:p w14:paraId="267E6721">
      <w:pPr>
        <w:tabs>
          <w:tab w:val="left" w:pos="720"/>
        </w:tabs>
        <w:spacing w:line="500" w:lineRule="exact"/>
        <w:ind w:firstLine="480" w:firstLineChars="200"/>
        <w:rPr>
          <w:rFonts w:hint="eastAsia" w:cs="宋体" w:asciiTheme="minorEastAsia" w:hAnsiTheme="minorEastAsia"/>
          <w:color w:val="auto"/>
          <w:sz w:val="24"/>
          <w:szCs w:val="24"/>
        </w:rPr>
      </w:pPr>
      <w:r>
        <w:rPr>
          <w:rFonts w:cs="宋体" w:asciiTheme="minorEastAsia" w:hAnsiTheme="minorEastAsia"/>
          <w:bCs/>
          <w:color w:val="auto"/>
          <w:sz w:val="24"/>
          <w:szCs w:val="24"/>
        </w:rPr>
        <w:t>2</w:t>
      </w:r>
      <w:r>
        <w:rPr>
          <w:rFonts w:hint="eastAsia" w:cs="宋体" w:asciiTheme="minorEastAsia" w:hAnsiTheme="minorEastAsia"/>
          <w:bCs/>
          <w:color w:val="auto"/>
          <w:sz w:val="24"/>
          <w:szCs w:val="24"/>
        </w:rPr>
        <w:t>、</w:t>
      </w:r>
      <w:r>
        <w:rPr>
          <w:rFonts w:cs="宋体" w:asciiTheme="minorEastAsia" w:hAnsiTheme="minorEastAsia"/>
          <w:bCs/>
          <w:color w:val="auto"/>
          <w:sz w:val="24"/>
          <w:szCs w:val="24"/>
        </w:rPr>
        <w:t>评标委员会推荐出1-3名有排序的中标候选人。</w:t>
      </w:r>
      <w:r>
        <w:rPr>
          <w:rFonts w:cs="宋体" w:asciiTheme="minorEastAsia" w:hAnsiTheme="minorEastAsia"/>
          <w:color w:val="auto"/>
          <w:sz w:val="24"/>
          <w:szCs w:val="24"/>
        </w:rPr>
        <w:t>技术分、商务分相加总得分最高的为第一中标</w:t>
      </w:r>
      <w:r>
        <w:rPr>
          <w:rFonts w:hint="eastAsia" w:cs="宋体" w:asciiTheme="minorEastAsia" w:hAnsiTheme="minorEastAsia"/>
          <w:color w:val="auto"/>
          <w:sz w:val="24"/>
          <w:szCs w:val="24"/>
          <w:lang w:eastAsia="zh-CN"/>
        </w:rPr>
        <w:t>候选人</w:t>
      </w:r>
      <w:r>
        <w:rPr>
          <w:rFonts w:cs="宋体" w:asciiTheme="minorEastAsia" w:hAnsiTheme="minorEastAsia"/>
          <w:color w:val="auto"/>
          <w:sz w:val="24"/>
          <w:szCs w:val="24"/>
        </w:rPr>
        <w:t>；总得分相同时，</w:t>
      </w:r>
      <w:bookmarkStart w:id="1" w:name="_GoBack"/>
      <w:r>
        <w:rPr>
          <w:rFonts w:hint="eastAsia" w:cs="宋体" w:asciiTheme="minorEastAsia" w:hAnsiTheme="minorEastAsia"/>
          <w:color w:val="auto"/>
          <w:sz w:val="24"/>
          <w:szCs w:val="24"/>
          <w:lang w:eastAsia="zh-CN"/>
        </w:rPr>
        <w:t>技术</w:t>
      </w:r>
      <w:bookmarkEnd w:id="1"/>
      <w:r>
        <w:rPr>
          <w:rFonts w:cs="宋体" w:asciiTheme="minorEastAsia" w:hAnsiTheme="minorEastAsia"/>
          <w:color w:val="auto"/>
          <w:sz w:val="24"/>
          <w:szCs w:val="24"/>
        </w:rPr>
        <w:t>分高的确定为第一中标候选人；总得分、技术分得分均相同时，商务分报价低者排名优先。</w:t>
      </w:r>
    </w:p>
    <w:p w14:paraId="5A472D16">
      <w:pPr>
        <w:widowControl/>
        <w:jc w:val="left"/>
        <w:rPr>
          <w:rFonts w:hint="eastAsia" w:cs="宋体" w:asciiTheme="minorEastAsia" w:hAnsiTheme="minorEastAsia"/>
          <w:bCs/>
          <w:color w:val="auto"/>
          <w:sz w:val="24"/>
          <w:szCs w:val="24"/>
        </w:rPr>
      </w:pPr>
    </w:p>
    <w:p w14:paraId="7799857F">
      <w:pPr>
        <w:widowControl/>
        <w:jc w:val="left"/>
        <w:rPr>
          <w:rFonts w:hint="eastAsia" w:cs="宋体" w:asciiTheme="minorEastAsia" w:hAnsiTheme="minorEastAsia"/>
          <w:b/>
          <w:color w:val="auto"/>
          <w:sz w:val="24"/>
          <w:szCs w:val="24"/>
        </w:rPr>
      </w:pPr>
    </w:p>
    <w:p w14:paraId="17996D6E">
      <w:pPr>
        <w:rPr>
          <w:color w:val="auto"/>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148586"/>
      <w:docPartObj>
        <w:docPartGallery w:val="autotext"/>
      </w:docPartObj>
    </w:sdtPr>
    <w:sdtContent>
      <w:p w14:paraId="57A3578A">
        <w:pPr>
          <w:pStyle w:val="7"/>
          <w:jc w:val="center"/>
        </w:pPr>
        <w:r>
          <w:fldChar w:fldCharType="begin"/>
        </w:r>
        <w:r>
          <w:instrText xml:space="preserve">PAGE   \* MERGEFORMAT</w:instrText>
        </w:r>
        <w:r>
          <w:fldChar w:fldCharType="separate"/>
        </w:r>
        <w:r>
          <w:rPr>
            <w:lang w:val="zh-CN"/>
          </w:rPr>
          <w:t>23</w:t>
        </w:r>
        <w:r>
          <w:fldChar w:fldCharType="end"/>
        </w:r>
      </w:p>
    </w:sdtContent>
  </w:sdt>
  <w:p w14:paraId="3062337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1"/>
    <w:rsid w:val="000231CD"/>
    <w:rsid w:val="00064807"/>
    <w:rsid w:val="00066BB1"/>
    <w:rsid w:val="000B44F5"/>
    <w:rsid w:val="000D7210"/>
    <w:rsid w:val="000D7EBE"/>
    <w:rsid w:val="000F4999"/>
    <w:rsid w:val="0014740C"/>
    <w:rsid w:val="0017021B"/>
    <w:rsid w:val="001C4E97"/>
    <w:rsid w:val="002E00D5"/>
    <w:rsid w:val="003B243F"/>
    <w:rsid w:val="003D377D"/>
    <w:rsid w:val="00426A12"/>
    <w:rsid w:val="00440B91"/>
    <w:rsid w:val="004C0A55"/>
    <w:rsid w:val="0055363E"/>
    <w:rsid w:val="005544BC"/>
    <w:rsid w:val="0056227F"/>
    <w:rsid w:val="006110C6"/>
    <w:rsid w:val="006A0930"/>
    <w:rsid w:val="006F2C6A"/>
    <w:rsid w:val="00743B59"/>
    <w:rsid w:val="00793DCF"/>
    <w:rsid w:val="007E3037"/>
    <w:rsid w:val="00813188"/>
    <w:rsid w:val="008261E9"/>
    <w:rsid w:val="00890CB1"/>
    <w:rsid w:val="008B2D25"/>
    <w:rsid w:val="008B39B5"/>
    <w:rsid w:val="008E04E2"/>
    <w:rsid w:val="00952165"/>
    <w:rsid w:val="009C724F"/>
    <w:rsid w:val="00B9094E"/>
    <w:rsid w:val="00C03FD3"/>
    <w:rsid w:val="00C27485"/>
    <w:rsid w:val="00CE1850"/>
    <w:rsid w:val="00D27883"/>
    <w:rsid w:val="00DB5D58"/>
    <w:rsid w:val="00DF69C5"/>
    <w:rsid w:val="00E02DB8"/>
    <w:rsid w:val="00E846B9"/>
    <w:rsid w:val="00F02232"/>
    <w:rsid w:val="00F17747"/>
    <w:rsid w:val="00F27032"/>
    <w:rsid w:val="00FA7857"/>
    <w:rsid w:val="00FE2809"/>
    <w:rsid w:val="604B7C3A"/>
    <w:rsid w:val="67A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jc w:val="left"/>
      <w:outlineLvl w:val="0"/>
    </w:pPr>
    <w:rPr>
      <w:b/>
      <w:bCs/>
      <w:kern w:val="44"/>
      <w:sz w:val="28"/>
      <w:szCs w:val="44"/>
    </w:rPr>
  </w:style>
  <w:style w:type="paragraph" w:styleId="3">
    <w:name w:val="heading 2"/>
    <w:basedOn w:val="1"/>
    <w:next w:val="1"/>
    <w:link w:val="15"/>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16"/>
    <w:unhideWhenUsed/>
    <w:qFormat/>
    <w:uiPriority w:val="9"/>
    <w:pPr>
      <w:keepNext/>
      <w:keepLines/>
      <w:spacing w:before="260" w:after="260" w:line="416" w:lineRule="auto"/>
      <w:jc w:val="left"/>
      <w:outlineLvl w:val="2"/>
    </w:pPr>
    <w:rPr>
      <w:b/>
      <w:bCs/>
      <w:sz w:val="24"/>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23"/>
    <w:semiHidden/>
    <w:unhideWhenUsed/>
    <w:uiPriority w:val="99"/>
    <w:pPr>
      <w:spacing w:after="120"/>
    </w:pPr>
    <w:rPr>
      <w:rFonts w:ascii="等线" w:hAnsi="等线" w:eastAsia="等线" w:cs="Times New Roman"/>
      <w:szCs w:val="21"/>
    </w:rPr>
  </w:style>
  <w:style w:type="paragraph" w:styleId="6">
    <w:name w:val="Body Text Indent"/>
    <w:basedOn w:val="1"/>
    <w:link w:val="20"/>
    <w:semiHidden/>
    <w:unhideWhenUsed/>
    <w:qFormat/>
    <w:uiPriority w:val="99"/>
    <w:pPr>
      <w:spacing w:after="120"/>
      <w:ind w:left="420" w:leftChars="200"/>
    </w:p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paragraph" w:styleId="9">
    <w:name w:val="Body Text First Indent 2"/>
    <w:basedOn w:val="6"/>
    <w:link w:val="19"/>
    <w:unhideWhenUsed/>
    <w:uiPriority w:val="0"/>
    <w:pPr>
      <w:ind w:firstLine="420" w:firstLineChars="200"/>
    </w:pPr>
    <w:rPr>
      <w:sz w:val="24"/>
    </w:rPr>
  </w:style>
  <w:style w:type="character" w:customStyle="1" w:styleId="12">
    <w:name w:val="页眉 字符"/>
    <w:basedOn w:val="11"/>
    <w:link w:val="8"/>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1 字符"/>
    <w:basedOn w:val="11"/>
    <w:link w:val="2"/>
    <w:uiPriority w:val="9"/>
    <w:rPr>
      <w:b/>
      <w:bCs/>
      <w:kern w:val="44"/>
      <w:sz w:val="28"/>
      <w:szCs w:val="44"/>
    </w:rPr>
  </w:style>
  <w:style w:type="character" w:customStyle="1" w:styleId="15">
    <w:name w:val="标题 2 字符"/>
    <w:basedOn w:val="11"/>
    <w:link w:val="3"/>
    <w:qFormat/>
    <w:uiPriority w:val="9"/>
    <w:rPr>
      <w:rFonts w:asciiTheme="majorHAnsi" w:hAnsiTheme="majorHAnsi" w:eastAsiaTheme="majorEastAsia" w:cstheme="majorBidi"/>
      <w:b/>
      <w:bCs/>
      <w:sz w:val="28"/>
      <w:szCs w:val="32"/>
    </w:rPr>
  </w:style>
  <w:style w:type="character" w:customStyle="1" w:styleId="16">
    <w:name w:val="标题 3 字符"/>
    <w:basedOn w:val="11"/>
    <w:link w:val="4"/>
    <w:qFormat/>
    <w:uiPriority w:val="9"/>
    <w:rPr>
      <w:b/>
      <w:bCs/>
      <w:sz w:val="24"/>
      <w:szCs w:val="32"/>
    </w:rPr>
  </w:style>
  <w:style w:type="paragraph" w:customStyle="1" w:styleId="17">
    <w:name w:val="!正文"/>
    <w:basedOn w:val="1"/>
    <w:link w:val="18"/>
    <w:qFormat/>
    <w:uiPriority w:val="0"/>
    <w:pPr>
      <w:widowControl/>
      <w:spacing w:beforeLines="50" w:afterLines="50" w:line="360" w:lineRule="auto"/>
      <w:ind w:firstLine="200" w:firstLineChars="200"/>
    </w:pPr>
    <w:rPr>
      <w:rFonts w:ascii="宋体" w:hAnsi="宋体" w:eastAsia="宋体" w:cs="Times New Roman"/>
      <w:sz w:val="24"/>
      <w:szCs w:val="28"/>
    </w:rPr>
  </w:style>
  <w:style w:type="character" w:customStyle="1" w:styleId="18">
    <w:name w:val="!正文 Char"/>
    <w:link w:val="17"/>
    <w:qFormat/>
    <w:uiPriority w:val="0"/>
    <w:rPr>
      <w:rFonts w:ascii="宋体" w:hAnsi="宋体" w:eastAsia="宋体" w:cs="Times New Roman"/>
      <w:sz w:val="24"/>
      <w:szCs w:val="28"/>
    </w:rPr>
  </w:style>
  <w:style w:type="character" w:customStyle="1" w:styleId="19">
    <w:name w:val="正文文本首行缩进 2 字符1"/>
    <w:link w:val="9"/>
    <w:qFormat/>
    <w:locked/>
    <w:uiPriority w:val="0"/>
    <w:rPr>
      <w:sz w:val="24"/>
    </w:rPr>
  </w:style>
  <w:style w:type="character" w:customStyle="1" w:styleId="20">
    <w:name w:val="正文文本缩进 字符"/>
    <w:basedOn w:val="11"/>
    <w:link w:val="6"/>
    <w:semiHidden/>
    <w:qFormat/>
    <w:uiPriority w:val="99"/>
  </w:style>
  <w:style w:type="character" w:customStyle="1" w:styleId="21">
    <w:name w:val="正文文本首行缩进 2 字符"/>
    <w:basedOn w:val="20"/>
    <w:semiHidden/>
    <w:qFormat/>
    <w:uiPriority w:val="99"/>
  </w:style>
  <w:style w:type="paragraph" w:customStyle="1" w:styleId="22">
    <w:name w:val="列出段落1"/>
    <w:basedOn w:val="1"/>
    <w:qFormat/>
    <w:uiPriority w:val="0"/>
    <w:pPr>
      <w:ind w:firstLine="420" w:firstLineChars="200"/>
    </w:pPr>
    <w:rPr>
      <w:rFonts w:ascii="Times New Roman" w:hAnsi="Times New Roman" w:eastAsia="宋体" w:cs="Times New Roman"/>
      <w:szCs w:val="24"/>
    </w:rPr>
  </w:style>
  <w:style w:type="character" w:customStyle="1" w:styleId="23">
    <w:name w:val="正文文本 字符"/>
    <w:basedOn w:val="11"/>
    <w:link w:val="5"/>
    <w:semiHidden/>
    <w:qFormat/>
    <w:uiPriority w:val="99"/>
    <w:rPr>
      <w:rFonts w:ascii="等线" w:hAnsi="等线" w:eastAsia="等线"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6378-E750-4E35-A1F9-B7AEF806D6A7}">
  <ds:schemaRefs/>
</ds:datastoreItem>
</file>

<file path=docProps/app.xml><?xml version="1.0" encoding="utf-8"?>
<Properties xmlns="http://schemas.openxmlformats.org/officeDocument/2006/extended-properties" xmlns:vt="http://schemas.openxmlformats.org/officeDocument/2006/docPropsVTypes">
  <Template>Normal</Template>
  <Pages>16</Pages>
  <Words>9071</Words>
  <Characters>9145</Characters>
  <Lines>74</Lines>
  <Paragraphs>21</Paragraphs>
  <TotalTime>14</TotalTime>
  <ScaleCrop>false</ScaleCrop>
  <LinksUpToDate>false</LinksUpToDate>
  <CharactersWithSpaces>9262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2024-12-11T02:48:00Z</dcterms:created>
  <dc:creator>俊依 王</dc:creator>
  <cp:lastModifiedBy>喵了个咪</cp:lastModifiedBy>
  <dcterms:modified xsi:type="dcterms:W3CDTF">2025-01-16T01:54:09Z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38E3B5EE52084F01B570F8C16FA03661_13</vt:lpwstr>
  </property>
  <property fmtid="{D5CDD505-2E9C-101B-9397-08002B2CF9AE}" pid="4" name="KSOTemplateDocerSaveRecord">
    <vt:lpwstr>eyJoZGlkIjoiMDU4YmVmZjlkYTA5YjgzMGU5MTY4NjdiMThhODhhYWQiLCJ1c2VySWQiOiIzMzQzMjA2NzMifQ==</vt:lpwstr>
  </property>
</Properties>
</file>